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napToGrid/>
        <w:spacing w:before="0" w:beforeAutospacing="0" w:after="0" w:afterAutospacing="0" w:line="600" w:lineRule="exact"/>
        <w:jc w:val="both"/>
        <w:textAlignment w:val="baseline"/>
        <w:rPr>
          <w:rFonts w:eastAsia="黑体"/>
          <w:b w:val="0"/>
          <w:i w:val="0"/>
          <w:caps w:val="0"/>
          <w:smallCaps w:val="0"/>
          <w:color w:val="000000"/>
          <w:spacing w:val="0"/>
          <w:w w:val="100"/>
          <w:kern w:val="0"/>
          <w:sz w:val="32"/>
          <w:szCs w:val="32"/>
        </w:rPr>
      </w:pPr>
    </w:p>
    <w:p>
      <w:pPr>
        <w:snapToGrid/>
        <w:spacing w:before="0" w:beforeAutospacing="0" w:after="0" w:afterAutospacing="0" w:line="240" w:lineRule="auto"/>
        <w:jc w:val="center"/>
        <w:textAlignment w:val="baseline"/>
        <w:rPr>
          <w:rFonts w:eastAsia="方正小标宋_GBK"/>
          <w:b w:val="0"/>
          <w:i w:val="0"/>
          <w:caps w:val="0"/>
          <w:smallCaps w:val="0"/>
          <w:color w:val="000000"/>
          <w:spacing w:val="0"/>
          <w:w w:val="100"/>
          <w:sz w:val="48"/>
          <w:szCs w:val="48"/>
        </w:rPr>
      </w:pPr>
    </w:p>
    <w:p>
      <w:pPr>
        <w:snapToGrid/>
        <w:spacing w:before="0" w:beforeAutospacing="0" w:after="0" w:afterAutospacing="0" w:line="240" w:lineRule="auto"/>
        <w:jc w:val="center"/>
        <w:textAlignment w:val="baseline"/>
        <w:rPr>
          <w:rFonts w:eastAsia="方正小标宋_GBK"/>
          <w:b w:val="0"/>
          <w:i w:val="0"/>
          <w:caps w:val="0"/>
          <w:smallCaps w:val="0"/>
          <w:color w:val="000000"/>
          <w:spacing w:val="0"/>
          <w:w w:val="100"/>
          <w:sz w:val="48"/>
          <w:szCs w:val="48"/>
        </w:rPr>
      </w:pPr>
    </w:p>
    <w:p>
      <w:pPr>
        <w:pStyle w:val="15"/>
        <w:rPr>
          <w:color w:val="000000"/>
        </w:rPr>
      </w:pPr>
    </w:p>
    <w:p>
      <w:pPr>
        <w:pStyle w:val="15"/>
        <w:rPr>
          <w:color w:val="000000"/>
        </w:rPr>
      </w:pPr>
    </w:p>
    <w:p>
      <w:pPr>
        <w:snapToGrid/>
        <w:spacing w:before="0" w:beforeAutospacing="0" w:after="0" w:afterAutospacing="0" w:line="240" w:lineRule="auto"/>
        <w:jc w:val="center"/>
        <w:textAlignment w:val="baseline"/>
        <w:rPr>
          <w:rFonts w:eastAsia="方正小标宋_GBK"/>
          <w:b w:val="0"/>
          <w:i w:val="0"/>
          <w:caps w:val="0"/>
          <w:smallCaps w:val="0"/>
          <w:color w:val="000000"/>
          <w:spacing w:val="0"/>
          <w:w w:val="100"/>
          <w:sz w:val="48"/>
          <w:szCs w:val="48"/>
        </w:rPr>
      </w:pPr>
      <w:r>
        <w:rPr>
          <w:rFonts w:eastAsia="方正小标宋_GBK"/>
          <w:b w:val="0"/>
          <w:i w:val="0"/>
          <w:caps w:val="0"/>
          <w:smallCaps w:val="0"/>
          <w:color w:val="000000"/>
          <w:spacing w:val="0"/>
          <w:w w:val="100"/>
          <w:sz w:val="48"/>
          <w:szCs w:val="48"/>
        </w:rPr>
        <w:t>2020年度部门整体支出</w:t>
      </w:r>
    </w:p>
    <w:p>
      <w:pPr>
        <w:snapToGrid/>
        <w:spacing w:before="0" w:beforeAutospacing="0" w:after="0" w:afterAutospacing="0" w:line="240" w:lineRule="auto"/>
        <w:jc w:val="center"/>
        <w:textAlignment w:val="baseline"/>
        <w:rPr>
          <w:rFonts w:eastAsia="方正小标宋_GBK"/>
          <w:b w:val="0"/>
          <w:i w:val="0"/>
          <w:caps w:val="0"/>
          <w:smallCaps w:val="0"/>
          <w:color w:val="000000"/>
          <w:spacing w:val="0"/>
          <w:w w:val="100"/>
          <w:sz w:val="48"/>
          <w:szCs w:val="48"/>
        </w:rPr>
      </w:pPr>
      <w:r>
        <w:rPr>
          <w:rFonts w:eastAsia="方正小标宋_GBK"/>
          <w:b w:val="0"/>
          <w:i w:val="0"/>
          <w:caps w:val="0"/>
          <w:smallCaps w:val="0"/>
          <w:color w:val="000000"/>
          <w:spacing w:val="0"/>
          <w:w w:val="100"/>
          <w:sz w:val="48"/>
          <w:szCs w:val="48"/>
        </w:rPr>
        <w:t>绩效自评报告</w:t>
      </w:r>
    </w:p>
    <w:p>
      <w:pPr>
        <w:snapToGrid/>
        <w:spacing w:before="0" w:beforeAutospacing="0" w:after="0" w:afterAutospacing="0" w:line="240" w:lineRule="auto"/>
        <w:jc w:val="center"/>
        <w:textAlignment w:val="baseline"/>
        <w:rPr>
          <w:rFonts w:eastAsia="黑体"/>
          <w:b w:val="0"/>
          <w:i w:val="0"/>
          <w:caps w:val="0"/>
          <w:smallCaps w:val="0"/>
          <w:color w:val="000000"/>
          <w:spacing w:val="0"/>
          <w:w w:val="100"/>
          <w:sz w:val="32"/>
          <w:szCs w:val="32"/>
        </w:rPr>
      </w:pPr>
    </w:p>
    <w:p>
      <w:pPr>
        <w:snapToGrid/>
        <w:spacing w:before="0" w:beforeAutospacing="0" w:after="0" w:afterAutospacing="0" w:line="240" w:lineRule="auto"/>
        <w:jc w:val="center"/>
        <w:textAlignment w:val="baseline"/>
        <w:rPr>
          <w:rFonts w:eastAsia="黑体"/>
          <w:b w:val="0"/>
          <w:i w:val="0"/>
          <w:caps w:val="0"/>
          <w:smallCaps w:val="0"/>
          <w:color w:val="000000"/>
          <w:spacing w:val="0"/>
          <w:w w:val="100"/>
          <w:sz w:val="32"/>
          <w:szCs w:val="32"/>
        </w:rPr>
      </w:pPr>
    </w:p>
    <w:p>
      <w:pPr>
        <w:snapToGrid/>
        <w:spacing w:before="0" w:beforeAutospacing="0" w:after="0" w:afterAutospacing="0" w:line="240" w:lineRule="auto"/>
        <w:jc w:val="center"/>
        <w:textAlignment w:val="baseline"/>
        <w:rPr>
          <w:rFonts w:eastAsia="黑体"/>
          <w:b w:val="0"/>
          <w:i w:val="0"/>
          <w:caps w:val="0"/>
          <w:smallCaps w:val="0"/>
          <w:color w:val="000000"/>
          <w:spacing w:val="0"/>
          <w:w w:val="100"/>
          <w:sz w:val="32"/>
          <w:szCs w:val="32"/>
        </w:rPr>
      </w:pPr>
    </w:p>
    <w:p>
      <w:pPr>
        <w:snapToGrid/>
        <w:spacing w:before="0" w:beforeAutospacing="0" w:after="0" w:afterAutospacing="0" w:line="240" w:lineRule="auto"/>
        <w:jc w:val="center"/>
        <w:textAlignment w:val="baseline"/>
        <w:rPr>
          <w:rFonts w:eastAsia="黑体"/>
          <w:b w:val="0"/>
          <w:i w:val="0"/>
          <w:caps w:val="0"/>
          <w:smallCaps w:val="0"/>
          <w:color w:val="000000"/>
          <w:spacing w:val="0"/>
          <w:w w:val="100"/>
          <w:sz w:val="32"/>
          <w:szCs w:val="32"/>
        </w:rPr>
      </w:pPr>
    </w:p>
    <w:p>
      <w:pPr>
        <w:snapToGrid/>
        <w:spacing w:before="0" w:beforeAutospacing="0" w:after="0" w:afterAutospacing="0" w:line="240" w:lineRule="auto"/>
        <w:jc w:val="center"/>
        <w:textAlignment w:val="baseline"/>
        <w:rPr>
          <w:rFonts w:eastAsia="黑体"/>
          <w:b w:val="0"/>
          <w:i w:val="0"/>
          <w:caps w:val="0"/>
          <w:smallCaps w:val="0"/>
          <w:color w:val="000000"/>
          <w:spacing w:val="0"/>
          <w:w w:val="100"/>
          <w:sz w:val="32"/>
          <w:szCs w:val="32"/>
        </w:rPr>
      </w:pPr>
    </w:p>
    <w:p>
      <w:pPr>
        <w:snapToGrid/>
        <w:spacing w:before="0" w:beforeAutospacing="0" w:after="0" w:afterAutospacing="0" w:line="240" w:lineRule="auto"/>
        <w:jc w:val="center"/>
        <w:textAlignment w:val="baseline"/>
        <w:rPr>
          <w:rFonts w:eastAsia="黑体"/>
          <w:b w:val="0"/>
          <w:i w:val="0"/>
          <w:caps w:val="0"/>
          <w:smallCaps w:val="0"/>
          <w:color w:val="000000"/>
          <w:spacing w:val="0"/>
          <w:w w:val="100"/>
          <w:sz w:val="32"/>
          <w:szCs w:val="32"/>
        </w:rPr>
      </w:pPr>
    </w:p>
    <w:p>
      <w:pPr>
        <w:pStyle w:val="15"/>
        <w:rPr>
          <w:color w:val="000000"/>
        </w:rPr>
      </w:pPr>
    </w:p>
    <w:p>
      <w:pPr>
        <w:snapToGrid/>
        <w:spacing w:before="0" w:beforeAutospacing="0" w:after="0" w:afterAutospacing="0" w:line="240" w:lineRule="auto"/>
        <w:jc w:val="center"/>
        <w:textAlignment w:val="baseline"/>
        <w:rPr>
          <w:rFonts w:eastAsia="黑体"/>
          <w:b w:val="0"/>
          <w:i w:val="0"/>
          <w:caps w:val="0"/>
          <w:smallCaps w:val="0"/>
          <w:color w:val="000000"/>
          <w:spacing w:val="0"/>
          <w:w w:val="100"/>
          <w:sz w:val="32"/>
          <w:szCs w:val="32"/>
        </w:rPr>
      </w:pPr>
    </w:p>
    <w:p>
      <w:pPr>
        <w:snapToGrid/>
        <w:spacing w:before="0" w:beforeAutospacing="0" w:after="0" w:afterAutospacing="0" w:line="240" w:lineRule="auto"/>
        <w:ind w:firstLineChars="200" w:firstLine="880"/>
        <w:jc w:val="center"/>
        <w:textAlignment w:val="baseline"/>
        <w:rPr>
          <w:rFonts w:eastAsia="黑体"/>
          <w:b w:val="0"/>
          <w:i w:val="0"/>
          <w:caps w:val="0"/>
          <w:smallCaps w:val="0"/>
          <w:color w:val="000000"/>
          <w:spacing w:val="0"/>
          <w:w w:val="100"/>
          <w:sz w:val="44"/>
          <w:szCs w:val="44"/>
        </w:rPr>
      </w:pPr>
    </w:p>
    <w:p>
      <w:pPr>
        <w:snapToGrid/>
        <w:spacing w:before="0" w:beforeAutospacing="0" w:after="0" w:afterAutospacing="0" w:line="240" w:lineRule="auto"/>
        <w:ind w:firstLineChars="200" w:firstLine="880"/>
        <w:jc w:val="center"/>
        <w:textAlignment w:val="baseline"/>
        <w:rPr>
          <w:rFonts w:eastAsia="黑体"/>
          <w:b w:val="0"/>
          <w:i w:val="0"/>
          <w:caps w:val="0"/>
          <w:smallCaps w:val="0"/>
          <w:color w:val="000000"/>
          <w:spacing w:val="0"/>
          <w:w w:val="100"/>
          <w:sz w:val="44"/>
          <w:szCs w:val="44"/>
        </w:rPr>
      </w:pPr>
    </w:p>
    <w:p>
      <w:pPr>
        <w:snapToGrid/>
        <w:spacing w:before="0" w:beforeAutospacing="0" w:after="0" w:afterAutospacing="0" w:line="240" w:lineRule="auto"/>
        <w:ind w:firstLineChars="200" w:firstLine="880"/>
        <w:jc w:val="center"/>
        <w:textAlignment w:val="baseline"/>
        <w:rPr>
          <w:rFonts w:eastAsia="黑体"/>
          <w:b w:val="0"/>
          <w:i w:val="0"/>
          <w:caps w:val="0"/>
          <w:smallCaps w:val="0"/>
          <w:color w:val="000000"/>
          <w:spacing w:val="0"/>
          <w:w w:val="100"/>
          <w:sz w:val="44"/>
          <w:szCs w:val="44"/>
        </w:rPr>
      </w:pPr>
    </w:p>
    <w:p>
      <w:pPr>
        <w:snapToGrid/>
        <w:spacing w:before="0" w:beforeAutospacing="0" w:after="0" w:afterAutospacing="0" w:line="240" w:lineRule="auto"/>
        <w:ind w:firstLineChars="600" w:firstLine="2160"/>
        <w:jc w:val="both"/>
        <w:textAlignment w:val="baseline"/>
        <w:rPr>
          <w:rFonts w:eastAsia="黑体"/>
          <w:b w:val="0"/>
          <w:i w:val="0"/>
          <w:caps w:val="0"/>
          <w:smallCaps w:val="0"/>
          <w:color w:val="000000"/>
          <w:spacing w:val="0"/>
          <w:w w:val="100"/>
          <w:sz w:val="36"/>
          <w:szCs w:val="36"/>
        </w:rPr>
      </w:pPr>
    </w:p>
    <w:p>
      <w:pPr>
        <w:snapToGrid/>
        <w:ind w:left="0"/>
        <w:jc w:val="center"/>
        <w:textAlignment w:val="baseline"/>
        <w:rPr>
          <w:rFonts w:eastAsia="黑体" w:hint="eastAsia"/>
          <w:color w:val="000000"/>
          <w:sz w:val="36"/>
          <w:szCs w:val="36"/>
          <w:bdr w:val="none" w:sz="0" w:space="0" w:color="auto"/>
          <w:lang w:val="en-US" w:eastAsia="zh-CN"/>
        </w:rPr>
      </w:pPr>
      <w:r>
        <w:rPr>
          <w:rFonts w:eastAsia="黑体"/>
          <w:color w:val="000000"/>
          <w:sz w:val="36"/>
          <w:szCs w:val="36"/>
          <w:bdr w:val="none" w:sz="0" w:space="0" w:color="auto"/>
        </w:rPr>
        <w:t>单位名称（盖章）：中共张家界市委宣传部</w:t>
      </w:r>
    </w:p>
    <w:p>
      <w:pPr>
        <w:snapToGrid/>
        <w:spacing w:before="0" w:beforeAutospacing="0" w:after="0" w:afterAutospacing="0" w:line="240" w:lineRule="auto"/>
        <w:jc w:val="center"/>
        <w:textAlignment w:val="baseline"/>
        <w:rPr>
          <w:rFonts w:eastAsia="黑体"/>
          <w:b w:val="0"/>
          <w:i w:val="0"/>
          <w:caps w:val="0"/>
          <w:smallCaps w:val="0"/>
          <w:color w:val="000000"/>
          <w:spacing w:val="0"/>
          <w:w w:val="100"/>
          <w:sz w:val="32"/>
          <w:szCs w:val="32"/>
        </w:rPr>
      </w:pPr>
    </w:p>
    <w:p>
      <w:pPr>
        <w:snapToGrid/>
        <w:spacing w:before="0" w:beforeAutospacing="0" w:after="0" w:afterAutospacing="0" w:line="240" w:lineRule="auto"/>
        <w:jc w:val="center"/>
        <w:textAlignment w:val="baseline"/>
        <w:rPr>
          <w:rFonts w:eastAsia="仿宋_GB2312"/>
          <w:b w:val="0"/>
          <w:i w:val="0"/>
          <w:caps w:val="0"/>
          <w:smallCaps w:val="0"/>
          <w:color w:val="000000"/>
          <w:spacing w:val="0"/>
          <w:w w:val="100"/>
          <w:sz w:val="32"/>
          <w:szCs w:val="32"/>
        </w:rPr>
      </w:pPr>
    </w:p>
    <w:p>
      <w:pPr>
        <w:snapToGrid/>
        <w:spacing w:line="600" w:lineRule="exact"/>
        <w:ind w:firstLineChars="200" w:firstLine="400"/>
        <w:textAlignment w:val="baseline"/>
        <w:rPr>
          <w:rFonts w:eastAsia="黑体"/>
          <w:b w:val="0"/>
          <w:i w:val="0"/>
          <w:caps w:val="0"/>
          <w:smallCaps w:val="0"/>
          <w:color w:val="000000"/>
          <w:spacing w:val="0"/>
          <w:w w:val="100"/>
          <w:sz w:val="32"/>
        </w:rPr>
      </w:pPr>
      <w:r>
        <w:rPr>
          <w:b w:val="0"/>
          <w:i w:val="0"/>
          <w:caps w:val="0"/>
          <w:smallCaps w:val="0"/>
          <w:color w:val="000000"/>
          <w:spacing w:val="0"/>
          <w:w w:val="100"/>
          <w:sz w:val="20"/>
        </w:rPr>
        <w:br w:type="page"/>
      </w:r>
      <w:r>
        <w:rPr>
          <w:rFonts w:eastAsia="黑体"/>
          <w:b w:val="0"/>
          <w:i w:val="0"/>
          <w:caps w:val="0"/>
          <w:smallCaps w:val="0"/>
          <w:color w:val="000000"/>
          <w:spacing w:val="0"/>
          <w:w w:val="100"/>
          <w:sz w:val="32"/>
          <w:szCs w:val="32"/>
        </w:rPr>
        <w:t>一、基本情况</w:t>
      </w:r>
    </w:p>
    <w:p>
      <w:pPr>
        <w:snapToGrid w:val="0"/>
        <w:spacing w:before="0" w:after="0" w:line="600" w:lineRule="exact"/>
        <w:ind w:firstLineChars="150" w:firstLine="420"/>
        <w:jc w:val="both"/>
        <w:textAlignment w:val="baseline"/>
        <w:rPr>
          <w:rFonts w:ascii="楷体_GB2312" w:eastAsia="楷体_GB2312" w:hint="eastAsia"/>
          <w:i w:val="0"/>
          <w:caps w:val="0"/>
          <w:smallCaps w:val="0"/>
          <w:color w:val="000000"/>
          <w:spacing w:val="0"/>
          <w:w w:val="100"/>
          <w:sz w:val="32"/>
          <w:szCs w:val="32"/>
        </w:rPr>
      </w:pPr>
      <w:r>
        <w:rPr>
          <w:rFonts w:ascii="楷体_GB2312" w:eastAsia="楷体_GB2312"/>
          <w:i w:val="0"/>
          <w:caps w:val="0"/>
          <w:smallCaps w:val="0"/>
          <w:color w:val="000000"/>
          <w:spacing w:val="-20"/>
          <w:w w:val="100"/>
          <w:sz w:val="32"/>
          <w:szCs w:val="32"/>
        </w:rPr>
        <w:t>（</w:t>
      </w:r>
      <w:r>
        <w:rPr>
          <w:rFonts w:ascii="楷体_GB2312" w:eastAsia="楷体_GB2312" w:hint="eastAsia"/>
          <w:i w:val="0"/>
          <w:caps w:val="0"/>
          <w:smallCaps w:val="0"/>
          <w:color w:val="000000"/>
          <w:spacing w:val="-20"/>
          <w:w w:val="100"/>
          <w:sz w:val="32"/>
          <w:szCs w:val="32"/>
        </w:rPr>
        <w:t>一</w:t>
      </w:r>
      <w:r>
        <w:rPr>
          <w:rFonts w:ascii="楷体_GB2312" w:eastAsia="楷体_GB2312"/>
          <w:i w:val="0"/>
          <w:caps w:val="0"/>
          <w:smallCaps w:val="0"/>
          <w:color w:val="000000"/>
          <w:spacing w:val="-20"/>
          <w:w w:val="100"/>
          <w:sz w:val="32"/>
          <w:szCs w:val="32"/>
        </w:rPr>
        <w:t>）</w:t>
      </w:r>
      <w:r>
        <w:rPr>
          <w:rFonts w:ascii="楷体_GB2312" w:eastAsia="楷体_GB2312" w:hint="eastAsia"/>
          <w:i w:val="0"/>
          <w:caps w:val="0"/>
          <w:smallCaps w:val="0"/>
          <w:color w:val="000000"/>
          <w:spacing w:val="0"/>
          <w:w w:val="100"/>
          <w:sz w:val="32"/>
          <w:szCs w:val="32"/>
        </w:rPr>
        <w:t>部门（单位）基本情况</w:t>
      </w:r>
    </w:p>
    <w:p>
      <w:pPr>
        <w:adjustRightInd w:val="0"/>
        <w:snapToGrid w:val="0"/>
        <w:spacing w:line="600" w:lineRule="exact"/>
        <w:ind w:firstLineChars="200" w:firstLine="640"/>
        <w:rPr>
          <w:rFonts w:ascii="仿宋_GB2312" w:eastAsia="仿宋_GB2312" w:cs="仿宋" w:hint="eastAsia"/>
          <w:b/>
          <w:bCs/>
          <w:i w:val="0"/>
          <w:caps w:val="0"/>
          <w:smallCaps w:val="0"/>
          <w:color w:val="000000"/>
          <w:spacing w:val="0"/>
          <w:w w:val="100"/>
          <w:sz w:val="32"/>
          <w:szCs w:val="32"/>
          <w:lang w:val="en-US" w:eastAsia="zh-CN"/>
        </w:rPr>
      </w:pPr>
      <w:r>
        <w:rPr>
          <w:rFonts w:ascii="仿宋_GB2312" w:eastAsia="仿宋_GB2312" w:cs="仿宋" w:hint="eastAsia"/>
          <w:b/>
          <w:bCs/>
          <w:i w:val="0"/>
          <w:caps w:val="0"/>
          <w:smallCaps w:val="0"/>
          <w:color w:val="000000"/>
          <w:spacing w:val="0"/>
          <w:w w:val="100"/>
          <w:sz w:val="32"/>
          <w:szCs w:val="32"/>
        </w:rPr>
        <w:t>1.</w:t>
      </w:r>
      <w:r>
        <w:rPr>
          <w:rFonts w:ascii="仿宋_GB2312" w:eastAsia="仿宋_GB2312" w:cs="仿宋" w:hint="eastAsia"/>
          <w:b/>
          <w:bCs/>
          <w:i w:val="0"/>
          <w:caps w:val="0"/>
          <w:smallCaps w:val="0"/>
          <w:color w:val="000000"/>
          <w:spacing w:val="0"/>
          <w:w w:val="100"/>
          <w:sz w:val="32"/>
          <w:szCs w:val="32"/>
          <w:lang w:val="en-US" w:eastAsia="zh-CN"/>
        </w:rPr>
        <w:t>主要职能：</w:t>
      </w:r>
    </w:p>
    <w:p>
      <w:pPr>
        <w:adjustRightInd w:val="0"/>
        <w:snapToGrid w:val="0"/>
        <w:spacing w:line="600" w:lineRule="exact"/>
        <w:ind w:firstLineChars="200" w:firstLine="640"/>
        <w:rPr>
          <w:rFonts w:eastAsia="仿宋_GB2312"/>
          <w:color w:val="000000"/>
          <w:sz w:val="32"/>
          <w:szCs w:val="32"/>
        </w:rPr>
      </w:pPr>
      <w:r>
        <w:rPr>
          <w:rFonts w:eastAsia="仿宋_GB2312"/>
          <w:color w:val="000000"/>
          <w:sz w:val="32"/>
          <w:szCs w:val="32"/>
        </w:rPr>
        <w:t>（1）拟订全市宣传思想文化工作政策和事业发展总体规划,提出全市宣传思想文化事业发展的指导意见,按照市委统一部署,协调宣传思想文化系统各部门之间的工作。</w:t>
      </w:r>
    </w:p>
    <w:p>
      <w:pPr>
        <w:adjustRightInd w:val="0"/>
        <w:snapToGrid w:val="0"/>
        <w:spacing w:line="600" w:lineRule="exact"/>
        <w:ind w:firstLineChars="200" w:firstLine="640"/>
        <w:rPr>
          <w:rFonts w:eastAsia="仿宋_GB2312"/>
          <w:color w:val="000000"/>
          <w:sz w:val="32"/>
          <w:szCs w:val="32"/>
        </w:rPr>
      </w:pPr>
      <w:r>
        <w:rPr>
          <w:rFonts w:eastAsia="仿宋_GB2312"/>
          <w:color w:val="000000"/>
          <w:sz w:val="32"/>
          <w:szCs w:val="32"/>
        </w:rPr>
        <w:t>（2）统筹协调全市党的意识形态工作，贯彻落实党中央、省委、市委关于意识形态工作决策部署，组织协调意识形态工作责任制落实和日常监督检查,结合巡察工作开展专项检查。</w:t>
      </w:r>
    </w:p>
    <w:p>
      <w:pPr>
        <w:adjustRightInd w:val="0"/>
        <w:snapToGrid w:val="0"/>
        <w:spacing w:line="600" w:lineRule="exact"/>
        <w:ind w:firstLineChars="200" w:firstLine="640"/>
        <w:rPr>
          <w:rFonts w:eastAsia="仿宋_GB2312"/>
          <w:color w:val="000000"/>
          <w:sz w:val="32"/>
          <w:szCs w:val="32"/>
        </w:rPr>
      </w:pPr>
      <w:r>
        <w:rPr>
          <w:rFonts w:eastAsia="仿宋_GB2312"/>
          <w:color w:val="000000"/>
          <w:sz w:val="32"/>
          <w:szCs w:val="32"/>
        </w:rPr>
        <w:t>（3）统筹指导协调全市理论研究、理论学习、理论宣讲工作。负责为全市各级党委(党组)理论学习中心组学习提供有关服务，组织实施理论宣讲活动等。</w:t>
      </w:r>
    </w:p>
    <w:p>
      <w:pPr>
        <w:adjustRightInd w:val="0"/>
        <w:snapToGrid w:val="0"/>
        <w:spacing w:line="600" w:lineRule="exact"/>
        <w:ind w:firstLineChars="200" w:firstLine="640"/>
        <w:rPr>
          <w:rFonts w:eastAsia="仿宋_GB2312"/>
          <w:color w:val="000000"/>
          <w:sz w:val="32"/>
          <w:szCs w:val="32"/>
        </w:rPr>
      </w:pPr>
      <w:r>
        <w:rPr>
          <w:rFonts w:eastAsia="仿宋_GB2312"/>
          <w:color w:val="000000"/>
          <w:sz w:val="32"/>
          <w:szCs w:val="32"/>
        </w:rPr>
        <w:t>（4）负责规划组织全局性思想政治工作，配合市委组织部做好党员教育工作，会同有关部门研究和改进群众思想教育工作。</w:t>
      </w:r>
    </w:p>
    <w:p>
      <w:pPr>
        <w:adjustRightInd w:val="0"/>
        <w:snapToGrid w:val="0"/>
        <w:spacing w:line="600" w:lineRule="exact"/>
        <w:ind w:firstLineChars="200" w:firstLine="640"/>
        <w:rPr>
          <w:rFonts w:eastAsia="仿宋_GB2312"/>
          <w:color w:val="000000"/>
          <w:sz w:val="32"/>
          <w:szCs w:val="32"/>
        </w:rPr>
      </w:pPr>
      <w:r>
        <w:rPr>
          <w:rFonts w:eastAsia="仿宋_GB2312"/>
          <w:color w:val="000000"/>
          <w:sz w:val="32"/>
          <w:szCs w:val="32"/>
        </w:rPr>
        <w:t>(5)统筹分析研判和引导社会舆论，指导协调全市各新闻单位工作，组织全市突发公共事件应急新闻工作、重大题材的宣传报道。</w:t>
      </w:r>
    </w:p>
    <w:p>
      <w:pPr>
        <w:adjustRightInd w:val="0"/>
        <w:snapToGrid w:val="0"/>
        <w:spacing w:line="600" w:lineRule="exact"/>
        <w:ind w:firstLineChars="200" w:firstLine="640"/>
        <w:rPr>
          <w:rFonts w:eastAsia="仿宋_GB2312"/>
          <w:color w:val="000000"/>
          <w:sz w:val="32"/>
          <w:szCs w:val="32"/>
        </w:rPr>
      </w:pPr>
      <w:r>
        <w:rPr>
          <w:rFonts w:eastAsia="仿宋_GB2312"/>
          <w:color w:val="000000"/>
          <w:sz w:val="32"/>
          <w:szCs w:val="32"/>
        </w:rPr>
        <w:t>（6）贯彻执行新闻出版业的管理政策,管理新闻出版行政事务，组织协调有关行政审批工作，统筹规划和指导协调新闻出版事业、产业发展,监督管理出版物内容和质量，监督管理印 刷业，管理著作权等。指导协调</w:t>
      </w:r>
      <w:r>
        <w:rPr>
          <w:rFonts w:ascii="仿宋_GB2312" w:eastAsia="仿宋_GB2312" w:hint="eastAsia"/>
          <w:color w:val="000000"/>
          <w:sz w:val="32"/>
          <w:szCs w:val="32"/>
        </w:rPr>
        <w:t>“扫黄打非”工</w:t>
      </w:r>
      <w:r>
        <w:rPr>
          <w:rFonts w:eastAsia="仿宋_GB2312"/>
          <w:color w:val="000000"/>
          <w:sz w:val="32"/>
          <w:szCs w:val="32"/>
        </w:rPr>
        <w:t>作。</w:t>
      </w:r>
    </w:p>
    <w:p>
      <w:pPr>
        <w:adjustRightInd w:val="0"/>
        <w:snapToGrid w:val="0"/>
        <w:spacing w:line="600" w:lineRule="exact"/>
        <w:ind w:firstLineChars="200" w:firstLine="640"/>
        <w:rPr>
          <w:rFonts w:eastAsia="仿宋_GB2312"/>
          <w:color w:val="000000"/>
          <w:sz w:val="32"/>
          <w:szCs w:val="32"/>
        </w:rPr>
      </w:pPr>
      <w:r>
        <w:rPr>
          <w:rFonts w:eastAsia="仿宋_GB2312"/>
          <w:color w:val="000000"/>
          <w:sz w:val="32"/>
          <w:szCs w:val="32"/>
        </w:rPr>
        <w:t>（7）从宏观上统筹指导协调全市互联网宣传和信息内容管理工作。统筹协调数字新媒体的建设与管理。</w:t>
      </w:r>
    </w:p>
    <w:p>
      <w:pPr>
        <w:adjustRightInd w:val="0"/>
        <w:snapToGrid w:val="0"/>
        <w:spacing w:line="600" w:lineRule="exact"/>
        <w:ind w:firstLineChars="200" w:firstLine="640"/>
        <w:rPr>
          <w:rFonts w:eastAsia="仿宋_GB2312"/>
          <w:color w:val="000000"/>
          <w:sz w:val="32"/>
          <w:szCs w:val="32"/>
        </w:rPr>
      </w:pPr>
      <w:r>
        <w:rPr>
          <w:rFonts w:eastAsia="仿宋_GB2312"/>
          <w:color w:val="000000"/>
          <w:sz w:val="32"/>
          <w:szCs w:val="32"/>
        </w:rPr>
        <w:t>（8）统筹指导协调推动全市精神文化产品的创作和生产，</w:t>
      </w:r>
      <w:r>
        <w:rPr>
          <w:rFonts w:eastAsia="仿宋_GB2312"/>
          <w:color w:val="000000"/>
          <w:spacing w:val="-4"/>
          <w:sz w:val="32"/>
          <w:szCs w:val="32"/>
          <w14:textFill>
            <w14:solidFill>
              <w14:srgbClr w14:val="000000"/>
            </w14:solidFill>
          </w14:textFill>
        </w:rPr>
        <w:t>协调组织中华优秀传统文化传承发展有关工作，指导协调推动群众文化建设。负责管理全市电影行政事务，指导协调全市性重大电影活动，指导全市电影放映工作，管理全市电影放映市场</w:t>
      </w:r>
      <w:r>
        <w:rPr>
          <w:rFonts w:eastAsia="仿宋_GB2312"/>
          <w:color w:val="000000"/>
          <w:sz w:val="32"/>
          <w:szCs w:val="32"/>
        </w:rPr>
        <w:t>。</w:t>
      </w:r>
    </w:p>
    <w:p>
      <w:pPr>
        <w:adjustRightInd w:val="0"/>
        <w:snapToGrid w:val="0"/>
        <w:spacing w:line="600" w:lineRule="exact"/>
        <w:ind w:firstLineChars="200" w:firstLine="640"/>
        <w:rPr>
          <w:rFonts w:eastAsia="仿宋_GB2312"/>
          <w:color w:val="000000"/>
          <w:sz w:val="32"/>
          <w:szCs w:val="32"/>
        </w:rPr>
      </w:pPr>
      <w:r>
        <w:rPr>
          <w:rFonts w:eastAsia="仿宋_GB2312"/>
          <w:color w:val="000000"/>
          <w:sz w:val="32"/>
          <w:szCs w:val="32"/>
        </w:rPr>
        <w:t xml:space="preserve">（9）对全市新闻出版、广播影视、文化艺术业改革发展研究提出建议，统筹指导协调文化体制改革和文化事业、文化产业及旅游业发展。 </w:t>
      </w:r>
    </w:p>
    <w:p>
      <w:pPr>
        <w:adjustRightInd w:val="0"/>
        <w:snapToGrid w:val="0"/>
        <w:spacing w:line="600" w:lineRule="exact"/>
        <w:ind w:firstLineChars="200" w:firstLine="640"/>
        <w:rPr>
          <w:rFonts w:eastAsia="仿宋_GB2312"/>
          <w:color w:val="000000"/>
          <w:sz w:val="32"/>
          <w:szCs w:val="32"/>
        </w:rPr>
      </w:pPr>
      <w:r>
        <w:rPr>
          <w:rFonts w:eastAsia="仿宋_GB2312"/>
          <w:color w:val="000000"/>
          <w:sz w:val="32"/>
          <w:szCs w:val="32"/>
        </w:rPr>
        <w:t>(10）统筹指导全市舆情信息工作,组织协调开展舆情信息收集分析研判工作,跟踪了解、研究掌握宣传舆情动态。</w:t>
      </w:r>
    </w:p>
    <w:p>
      <w:pPr>
        <w:adjustRightInd w:val="0"/>
        <w:snapToGrid w:val="0"/>
        <w:spacing w:line="600" w:lineRule="exact"/>
        <w:ind w:firstLineChars="200" w:firstLine="640"/>
        <w:rPr>
          <w:rFonts w:eastAsia="仿宋_GB2312"/>
          <w:color w:val="000000"/>
          <w:sz w:val="32"/>
          <w:szCs w:val="32"/>
        </w:rPr>
      </w:pPr>
      <w:r>
        <w:rPr>
          <w:rFonts w:eastAsia="仿宋_GB2312"/>
          <w:color w:val="000000"/>
          <w:sz w:val="32"/>
          <w:szCs w:val="32"/>
        </w:rPr>
        <w:t>(11）统筹协调全市对外宣传工作，指导协调有关部门落实对外宣传工作方针政策，指导对外文化交流工作。组织协调涉及港澳新闻宣传工作，协同有关部门开展涉台问题的宣传工作。统筹协调组织开展全市新闻发布工作，承担市委新闻发布有关组织协调工作，负责市政府新闻发布组织实施工作，指导协调市直各部门、各区县的新闻发布工作，推动新闻发言人制度建设拟订重大问题对外宣传口径。负责组织开展全市新闻领域对外交流与合作，会同有关部门做好境外来访记者采访事务方面的工作。</w:t>
      </w:r>
    </w:p>
    <w:p>
      <w:pPr>
        <w:adjustRightInd w:val="0"/>
        <w:snapToGrid w:val="0"/>
        <w:spacing w:line="600" w:lineRule="exact"/>
        <w:ind w:firstLineChars="200" w:firstLine="640"/>
        <w:rPr>
          <w:rFonts w:eastAsia="仿宋_GB2312"/>
          <w:color w:val="000000"/>
          <w:sz w:val="32"/>
          <w:szCs w:val="32"/>
        </w:rPr>
      </w:pPr>
      <w:r>
        <w:rPr>
          <w:rFonts w:eastAsia="仿宋_GB2312"/>
          <w:color w:val="000000"/>
          <w:sz w:val="32"/>
          <w:szCs w:val="32"/>
        </w:rPr>
        <w:t>(12)负责落实中央、省、市精神文明建设指导委员会工作部署，拟订全市精神文明建设工作规划并组织实施。</w:t>
      </w:r>
    </w:p>
    <w:p>
      <w:pPr>
        <w:adjustRightInd w:val="0"/>
        <w:snapToGrid w:val="0"/>
        <w:spacing w:line="600" w:lineRule="exact"/>
        <w:ind w:firstLineChars="200" w:firstLine="640"/>
        <w:rPr>
          <w:rFonts w:eastAsia="仿宋_GB2312"/>
          <w:color w:val="000000"/>
          <w:sz w:val="32"/>
          <w:szCs w:val="32"/>
        </w:rPr>
      </w:pPr>
      <w:r>
        <w:rPr>
          <w:rFonts w:eastAsia="仿宋_GB2312"/>
          <w:color w:val="000000"/>
          <w:sz w:val="32"/>
          <w:szCs w:val="32"/>
        </w:rPr>
        <w:t>(13)受市委委托，会同市委组织部管理市直宣传文化单位的领导干部。对区县委宣传部部长的任免提出意见。负责有关重要宣传舆论阵地和重要岗位领导干部管理。负责组织开展全市宣传思想文化系统干部教育培训和人才工作。</w:t>
      </w:r>
    </w:p>
    <w:p>
      <w:pPr>
        <w:adjustRightInd w:val="0"/>
        <w:snapToGrid w:val="0"/>
        <w:spacing w:line="600" w:lineRule="exact"/>
        <w:ind w:firstLineChars="200" w:firstLine="640"/>
        <w:rPr>
          <w:rFonts w:eastAsia="仿宋_GB2312"/>
          <w:color w:val="000000"/>
          <w:sz w:val="32"/>
          <w:szCs w:val="32"/>
        </w:rPr>
      </w:pPr>
      <w:r>
        <w:rPr>
          <w:rFonts w:eastAsia="仿宋_GB2312"/>
          <w:color w:val="000000"/>
          <w:sz w:val="32"/>
          <w:szCs w:val="32"/>
        </w:rPr>
        <w:t>(14)对市互联网信息办公室互联网宣传和信息内容管理方面的工作实施政策指导。归口领导市文化旅游广电体育局张家界日报社、市广播电视台。受市委委托，代管市文学艺术界联合会、市社会科学界联合会</w:t>
      </w:r>
    </w:p>
    <w:p>
      <w:pPr>
        <w:adjustRightInd w:val="0"/>
        <w:snapToGrid w:val="0"/>
        <w:spacing w:line="600" w:lineRule="exact"/>
        <w:ind w:firstLineChars="200" w:firstLine="640"/>
        <w:rPr>
          <w:rFonts w:eastAsia="仿宋_GB2312"/>
          <w:color w:val="000000"/>
          <w:sz w:val="32"/>
          <w:szCs w:val="32"/>
        </w:rPr>
      </w:pPr>
      <w:r>
        <w:rPr>
          <w:rFonts w:eastAsia="仿宋_GB2312"/>
          <w:color w:val="000000"/>
          <w:sz w:val="32"/>
          <w:szCs w:val="32"/>
        </w:rPr>
        <w:t>(15)完成市委交办的其他任务。</w:t>
      </w:r>
    </w:p>
    <w:p>
      <w:pPr>
        <w:adjustRightInd w:val="0"/>
        <w:snapToGrid w:val="0"/>
        <w:spacing w:line="600" w:lineRule="exact"/>
        <w:ind w:firstLineChars="200" w:firstLine="640"/>
        <w:rPr>
          <w:rFonts w:ascii="仿宋_GB2312" w:eastAsia="仿宋_GB2312" w:hint="eastAsia"/>
          <w:color w:val="000000"/>
          <w:sz w:val="32"/>
          <w:szCs w:val="32"/>
        </w:rPr>
      </w:pPr>
      <w:r>
        <w:rPr>
          <w:rFonts w:eastAsia="仿宋_GB2312"/>
          <w:color w:val="000000"/>
          <w:sz w:val="32"/>
          <w:szCs w:val="32"/>
        </w:rPr>
        <w:t>3.</w:t>
      </w:r>
      <w:r>
        <w:rPr>
          <w:rFonts w:ascii="仿宋_GB2312" w:eastAsia="仿宋_GB2312" w:cs="仿宋" w:hint="eastAsia"/>
          <w:b/>
          <w:bCs/>
          <w:i w:val="0"/>
          <w:caps w:val="0"/>
          <w:smallCaps w:val="0"/>
          <w:color w:val="000000"/>
          <w:spacing w:val="0"/>
          <w:w w:val="100"/>
          <w:kern w:val="0"/>
          <w:sz w:val="32"/>
          <w:szCs w:val="32"/>
          <w:shd w:val="clear" w:color="auto" w:fill="FFFFFF"/>
          <w:lang w:val="en-US" w:eastAsia="zh-CN"/>
        </w:rPr>
        <w:t>机构情况：</w:t>
      </w:r>
    </w:p>
    <w:p>
      <w:pPr>
        <w:adjustRightInd w:val="0"/>
        <w:snapToGrid w:val="0"/>
        <w:spacing w:line="600" w:lineRule="exact"/>
        <w:ind w:firstLineChars="200" w:firstLine="640"/>
        <w:rPr>
          <w:rFonts w:eastAsia="仿宋_GB2312"/>
          <w:color w:val="000000"/>
          <w:sz w:val="32"/>
          <w:szCs w:val="32"/>
        </w:rPr>
      </w:pPr>
      <w:r>
        <w:rPr>
          <w:rFonts w:eastAsia="仿宋_GB2312"/>
          <w:color w:val="000000"/>
          <w:sz w:val="32"/>
          <w:szCs w:val="32"/>
        </w:rPr>
        <w:t>中共张家界市委宣传部（以下简称市委宣传部）是市委正处级工作机关，对外加挂市政府新闻办公室、市新闻出版局（市版权局）、市精神文明建设指导委员会办公室牌子。</w:t>
      </w:r>
    </w:p>
    <w:p>
      <w:pPr>
        <w:adjustRightInd w:val="0"/>
        <w:snapToGrid w:val="0"/>
        <w:spacing w:line="600" w:lineRule="exact"/>
        <w:ind w:firstLineChars="200" w:firstLine="640"/>
        <w:rPr>
          <w:rFonts w:ascii="仿宋_GB2312" w:eastAsia="仿宋_GB2312" w:hint="eastAsia"/>
          <w:color w:val="000000"/>
          <w:sz w:val="32"/>
          <w:szCs w:val="32"/>
        </w:rPr>
      </w:pPr>
      <w:r>
        <w:rPr>
          <w:rFonts w:eastAsia="仿宋_GB2312"/>
          <w:color w:val="000000"/>
          <w:sz w:val="32"/>
          <w:szCs w:val="32"/>
        </w:rPr>
        <w:t>3.</w:t>
      </w:r>
      <w:r>
        <w:rPr>
          <w:rFonts w:ascii="仿宋_GB2312" w:eastAsia="仿宋_GB2312" w:cs="仿宋" w:hint="eastAsia"/>
          <w:b/>
          <w:bCs/>
          <w:i w:val="0"/>
          <w:caps w:val="0"/>
          <w:smallCaps w:val="0"/>
          <w:color w:val="000000"/>
          <w:spacing w:val="0"/>
          <w:w w:val="100"/>
          <w:sz w:val="32"/>
          <w:szCs w:val="32"/>
          <w:lang w:val="en-US" w:eastAsia="zh-CN"/>
        </w:rPr>
        <w:t>人员情况：</w:t>
      </w:r>
    </w:p>
    <w:p>
      <w:pPr>
        <w:adjustRightInd w:val="0"/>
        <w:snapToGrid w:val="0"/>
        <w:spacing w:line="600" w:lineRule="exact"/>
        <w:ind w:firstLineChars="200" w:firstLine="640"/>
        <w:rPr>
          <w:rFonts w:eastAsia="楷体_GB2312"/>
          <w:b/>
          <w:i w:val="0"/>
          <w:caps w:val="0"/>
          <w:smallCaps w:val="0"/>
          <w:color w:val="000000"/>
          <w:spacing w:val="0"/>
          <w:w w:val="100"/>
          <w:sz w:val="32"/>
          <w:szCs w:val="32"/>
        </w:rPr>
      </w:pPr>
      <w:r>
        <w:rPr>
          <w:rFonts w:eastAsia="仿宋_GB2312"/>
          <w:color w:val="000000"/>
          <w:sz w:val="32"/>
          <w:szCs w:val="32"/>
        </w:rPr>
        <w:t>截止20</w:t>
      </w:r>
      <w:r>
        <w:rPr>
          <w:rFonts w:eastAsia="仿宋_GB2312" w:hint="eastAsia"/>
          <w:color w:val="000000"/>
          <w:sz w:val="32"/>
          <w:szCs w:val="32"/>
          <w:lang w:val="en-US" w:eastAsia="zh-CN"/>
        </w:rPr>
        <w:t>20</w:t>
      </w:r>
      <w:r>
        <w:rPr>
          <w:rFonts w:eastAsia="仿宋_GB2312"/>
          <w:color w:val="000000"/>
          <w:sz w:val="32"/>
          <w:szCs w:val="32"/>
        </w:rPr>
        <w:t>年12月31日全单位编制数2</w:t>
      </w:r>
      <w:r>
        <w:rPr>
          <w:rFonts w:eastAsia="仿宋_GB2312"/>
          <w:color w:val="000000"/>
          <w:sz w:val="32"/>
          <w:szCs w:val="32"/>
          <w:lang w:val="en-US" w:eastAsia="zh-CN"/>
        </w:rPr>
        <w:t>9</w:t>
      </w:r>
      <w:r>
        <w:rPr>
          <w:rFonts w:eastAsia="仿宋_GB2312"/>
          <w:color w:val="000000"/>
          <w:sz w:val="32"/>
          <w:szCs w:val="32"/>
        </w:rPr>
        <w:t>人，其中：行政人员2</w:t>
      </w:r>
      <w:r>
        <w:rPr>
          <w:rFonts w:eastAsia="仿宋_GB2312"/>
          <w:color w:val="000000"/>
          <w:sz w:val="32"/>
          <w:szCs w:val="32"/>
          <w:lang w:val="en-US" w:eastAsia="zh-CN"/>
        </w:rPr>
        <w:t>0</w:t>
      </w:r>
      <w:r>
        <w:rPr>
          <w:rFonts w:eastAsia="仿宋_GB2312"/>
          <w:color w:val="000000"/>
          <w:sz w:val="32"/>
          <w:szCs w:val="32"/>
        </w:rPr>
        <w:t>人、参照公务员法管理人员</w:t>
      </w:r>
      <w:r>
        <w:rPr>
          <w:rFonts w:eastAsia="仿宋_GB2312" w:hint="eastAsia"/>
          <w:color w:val="000000"/>
          <w:sz w:val="32"/>
          <w:szCs w:val="32"/>
          <w:lang w:val="en-US" w:eastAsia="zh-CN"/>
        </w:rPr>
        <w:t>3</w:t>
      </w:r>
      <w:r>
        <w:rPr>
          <w:rFonts w:eastAsia="仿宋_GB2312"/>
          <w:color w:val="000000"/>
          <w:sz w:val="32"/>
          <w:szCs w:val="32"/>
        </w:rPr>
        <w:t>人、非参公事业人员</w:t>
      </w:r>
      <w:r>
        <w:rPr>
          <w:rFonts w:eastAsia="仿宋_GB2312"/>
          <w:color w:val="000000"/>
          <w:sz w:val="32"/>
          <w:szCs w:val="32"/>
          <w:lang w:val="en-US" w:eastAsia="zh-CN"/>
        </w:rPr>
        <w:t>6</w:t>
      </w:r>
      <w:r>
        <w:rPr>
          <w:rFonts w:eastAsia="仿宋_GB2312"/>
          <w:color w:val="000000"/>
          <w:sz w:val="32"/>
          <w:szCs w:val="32"/>
        </w:rPr>
        <w:t>人；实际在职人数2</w:t>
      </w:r>
      <w:r>
        <w:rPr>
          <w:rFonts w:eastAsia="仿宋_GB2312"/>
          <w:color w:val="000000"/>
          <w:sz w:val="32"/>
          <w:szCs w:val="32"/>
          <w:lang w:val="en-US" w:eastAsia="zh-CN"/>
        </w:rPr>
        <w:t>5</w:t>
      </w:r>
      <w:r>
        <w:rPr>
          <w:rFonts w:eastAsia="仿宋_GB2312"/>
          <w:color w:val="000000"/>
          <w:sz w:val="32"/>
          <w:szCs w:val="32"/>
        </w:rPr>
        <w:t>人。</w:t>
      </w:r>
    </w:p>
    <w:p>
      <w:pPr>
        <w:adjustRightInd w:val="0"/>
        <w:snapToGrid w:val="0"/>
        <w:spacing w:line="600" w:lineRule="exact"/>
        <w:ind w:firstLineChars="200" w:firstLine="640"/>
        <w:rPr>
          <w:rFonts w:ascii="楷体_GB2312" w:eastAsia="楷体_GB2312" w:hint="eastAsia"/>
          <w:i w:val="0"/>
          <w:caps w:val="0"/>
          <w:smallCaps w:val="0"/>
          <w:color w:val="000000"/>
          <w:spacing w:val="0"/>
          <w:w w:val="100"/>
          <w:sz w:val="32"/>
          <w:szCs w:val="32"/>
          <w:lang w:val="en-US" w:eastAsia="zh-CN"/>
        </w:rPr>
      </w:pPr>
      <w:r>
        <w:rPr>
          <w:rFonts w:ascii="楷体_GB2312" w:eastAsia="楷体_GB2312" w:hint="eastAsia"/>
          <w:i w:val="0"/>
          <w:caps w:val="0"/>
          <w:smallCaps w:val="0"/>
          <w:color w:val="000000"/>
          <w:spacing w:val="0"/>
          <w:w w:val="100"/>
          <w:sz w:val="32"/>
          <w:szCs w:val="32"/>
        </w:rPr>
        <w:t>（二）部门（单位）年度整体支出绩效目标，市级专项资金绩效目标、其他项目支出（除市级专项资金以外）绩效目标</w:t>
      </w:r>
    </w:p>
    <w:p>
      <w:pPr>
        <w:adjustRightInd w:val="0"/>
        <w:snapToGrid w:val="0"/>
        <w:spacing w:line="600" w:lineRule="exact"/>
        <w:ind w:firstLineChars="200" w:firstLine="640"/>
        <w:rPr>
          <w:rFonts w:ascii="仿宋_GB2312" w:eastAsia="仿宋_GB2312" w:cs="Times New Roman" w:hint="eastAsia"/>
          <w:b w:val="0"/>
          <w:i w:val="0"/>
          <w:caps w:val="0"/>
          <w:smallCaps w:val="0"/>
          <w:color w:val="000000"/>
          <w:spacing w:val="0"/>
          <w:w w:val="100"/>
          <w:kern w:val="2"/>
          <w:sz w:val="32"/>
          <w:szCs w:val="32"/>
          <w:lang w:val="en-US" w:eastAsia="zh-CN" w:bidi="ar-SA"/>
        </w:rPr>
      </w:pPr>
      <w:r>
        <w:rPr>
          <w:rFonts w:eastAsia="仿宋_GB2312"/>
          <w:color w:val="000000"/>
          <w:sz w:val="32"/>
          <w:szCs w:val="32"/>
          <w:bdr w:val="none" w:sz="0" w:space="0" w:color="auto"/>
        </w:rPr>
        <w:t>2020年</w:t>
      </w:r>
      <w:r>
        <w:rPr>
          <w:rFonts w:ascii="仿宋_GB2312" w:eastAsia="仿宋_GB2312" w:hint="eastAsia"/>
          <w:b w:val="0"/>
          <w:i w:val="0"/>
          <w:caps w:val="0"/>
          <w:smallCaps w:val="0"/>
          <w:color w:val="000000"/>
          <w:spacing w:val="0"/>
          <w:w w:val="100"/>
          <w:sz w:val="32"/>
          <w:szCs w:val="32"/>
          <w:lang w:val="en-US" w:eastAsia="zh-CN"/>
        </w:rPr>
        <w:t>，总收入</w:t>
      </w:r>
      <w:r>
        <w:rPr>
          <w:rFonts w:eastAsia="仿宋_GB2312"/>
          <w:color w:val="000000"/>
          <w:sz w:val="32"/>
          <w:szCs w:val="32"/>
          <w:bdr w:val="none" w:sz="0" w:space="0" w:color="auto"/>
        </w:rPr>
        <w:t>1,549.69万</w:t>
      </w:r>
      <w:r>
        <w:rPr>
          <w:rFonts w:ascii="仿宋_GB2312" w:eastAsia="仿宋_GB2312" w:hint="eastAsia"/>
          <w:b w:val="0"/>
          <w:i w:val="0"/>
          <w:caps w:val="0"/>
          <w:smallCaps w:val="0"/>
          <w:color w:val="000000"/>
          <w:spacing w:val="0"/>
          <w:w w:val="100"/>
          <w:sz w:val="32"/>
          <w:szCs w:val="32"/>
          <w:lang w:val="en-US" w:eastAsia="zh-CN"/>
        </w:rPr>
        <w:t>元，</w:t>
      </w:r>
      <w:r>
        <w:rPr>
          <w:rFonts w:ascii="仿宋_GB2312" w:eastAsia="仿宋_GB2312" w:hint="eastAsia"/>
          <w:b w:val="0"/>
          <w:i w:val="0"/>
          <w:caps w:val="0"/>
          <w:smallCaps w:val="0"/>
          <w:color w:val="000000"/>
          <w:spacing w:val="0"/>
          <w:w w:val="100"/>
          <w:sz w:val="32"/>
          <w:szCs w:val="32"/>
        </w:rPr>
        <w:t>其中：财政拨款收入</w:t>
      </w:r>
      <w:r>
        <w:rPr>
          <w:rFonts w:eastAsia="仿宋_GB2312"/>
          <w:color w:val="000000"/>
          <w:sz w:val="32"/>
          <w:szCs w:val="32"/>
          <w:bdr w:val="none" w:sz="0" w:space="0" w:color="auto"/>
        </w:rPr>
        <w:t>1,503.03</w:t>
      </w:r>
      <w:r>
        <w:rPr>
          <w:rFonts w:ascii="仿宋_GB2312" w:eastAsia="仿宋_GB2312" w:hint="eastAsia"/>
          <w:b w:val="0"/>
          <w:i w:val="0"/>
          <w:caps w:val="0"/>
          <w:smallCaps w:val="0"/>
          <w:color w:val="000000"/>
          <w:spacing w:val="0"/>
          <w:w w:val="100"/>
          <w:sz w:val="32"/>
          <w:szCs w:val="32"/>
          <w:shd w:val="clear" w:color="auto" w:fill="FFFFFF"/>
        </w:rPr>
        <w:t xml:space="preserve"> </w:t>
      </w:r>
      <w:r>
        <w:rPr>
          <w:rFonts w:ascii="仿宋_GB2312" w:eastAsia="仿宋_GB2312" w:hint="eastAsia"/>
          <w:b w:val="0"/>
          <w:i w:val="0"/>
          <w:caps w:val="0"/>
          <w:smallCaps w:val="0"/>
          <w:color w:val="000000"/>
          <w:spacing w:val="0"/>
          <w:w w:val="100"/>
          <w:sz w:val="32"/>
          <w:szCs w:val="32"/>
          <w:shd w:val="clear" w:color="auto" w:fill="FFFFFF"/>
          <w:lang w:val="en-US" w:eastAsia="zh-CN"/>
        </w:rPr>
        <w:t>万元；</w:t>
      </w:r>
      <w:r>
        <w:rPr>
          <w:rFonts w:ascii="仿宋_GB2312" w:eastAsia="仿宋_GB2312" w:hint="eastAsia"/>
          <w:b w:val="0"/>
          <w:i w:val="0"/>
          <w:caps w:val="0"/>
          <w:smallCaps w:val="0"/>
          <w:color w:val="000000"/>
          <w:spacing w:val="0"/>
          <w:w w:val="100"/>
          <w:sz w:val="32"/>
          <w:szCs w:val="32"/>
          <w:lang w:val="en-US" w:eastAsia="zh-CN"/>
        </w:rPr>
        <w:t>总支</w:t>
      </w:r>
      <w:r>
        <w:rPr>
          <w:rFonts w:eastAsia="仿宋_GB2312"/>
          <w:b w:val="0"/>
          <w:i w:val="0"/>
          <w:caps w:val="0"/>
          <w:smallCaps w:val="0"/>
          <w:color w:val="000000"/>
          <w:spacing w:val="0"/>
          <w:w w:val="100"/>
          <w:sz w:val="32"/>
          <w:szCs w:val="32"/>
          <w:lang w:val="en-US" w:eastAsia="zh-CN"/>
        </w:rPr>
        <w:t>出1,</w:t>
      </w:r>
      <w:r>
        <w:rPr>
          <w:rFonts w:eastAsia="仿宋_GB2312"/>
          <w:color w:val="000000"/>
          <w:sz w:val="32"/>
          <w:szCs w:val="32"/>
          <w:bdr w:val="none" w:sz="0" w:space="0" w:color="auto"/>
        </w:rPr>
        <w:t>512.42万元，其中：一般公共预算财政拨款支出1,422.89万元。在年度收</w:t>
      </w:r>
      <w:r>
        <w:rPr>
          <w:rFonts w:ascii="仿宋_GB2312" w:eastAsia="仿宋_GB2312" w:cs="仿宋" w:hint="eastAsia"/>
          <w:b w:val="0"/>
          <w:i w:val="0"/>
          <w:caps w:val="0"/>
          <w:smallCaps w:val="0"/>
          <w:color w:val="000000"/>
          <w:spacing w:val="0"/>
          <w:w w:val="100"/>
          <w:kern w:val="0"/>
          <w:sz w:val="32"/>
          <w:szCs w:val="32"/>
        </w:rPr>
        <w:t>支预算内，确保完成以下整体</w:t>
      </w:r>
      <w:r>
        <w:rPr>
          <w:rFonts w:ascii="仿宋_GB2312" w:eastAsia="仿宋_GB2312" w:cs="仿宋" w:hint="eastAsia"/>
          <w:b w:val="0"/>
          <w:i w:val="0"/>
          <w:caps w:val="0"/>
          <w:smallCaps w:val="0"/>
          <w:color w:val="000000"/>
          <w:spacing w:val="0"/>
          <w:w w:val="100"/>
          <w:kern w:val="0"/>
          <w:sz w:val="32"/>
          <w:szCs w:val="32"/>
          <w:lang w:val="en-US" w:eastAsia="zh-CN"/>
        </w:rPr>
        <w:t>支出绩效</w:t>
      </w:r>
      <w:r>
        <w:rPr>
          <w:rFonts w:ascii="仿宋_GB2312" w:eastAsia="仿宋_GB2312" w:cs="仿宋" w:hint="eastAsia"/>
          <w:b w:val="0"/>
          <w:i w:val="0"/>
          <w:caps w:val="0"/>
          <w:smallCaps w:val="0"/>
          <w:color w:val="000000"/>
          <w:spacing w:val="0"/>
          <w:w w:val="100"/>
          <w:kern w:val="0"/>
          <w:sz w:val="32"/>
          <w:szCs w:val="32"/>
        </w:rPr>
        <w:t>目标：</w:t>
      </w:r>
    </w:p>
    <w:p>
      <w:pPr>
        <w:adjustRightInd w:val="0"/>
        <w:snapToGrid w:val="0"/>
        <w:spacing w:line="600" w:lineRule="exact"/>
        <w:ind w:firstLineChars="200" w:firstLine="640"/>
        <w:rPr>
          <w:rFonts w:ascii="仿宋_GB2312" w:eastAsia="仿宋_GB2312" w:cs="Times New Roman" w:hint="eastAsia"/>
          <w:b w:val="0"/>
          <w:i w:val="0"/>
          <w:caps w:val="0"/>
          <w:smallCaps w:val="0"/>
          <w:color w:val="000000"/>
          <w:spacing w:val="0"/>
          <w:w w:val="100"/>
          <w:kern w:val="2"/>
          <w:sz w:val="32"/>
          <w:szCs w:val="32"/>
          <w:lang w:val="en-US" w:eastAsia="zh-CN" w:bidi="ar-SA"/>
        </w:rPr>
      </w:pPr>
      <w:r>
        <w:rPr>
          <w:rFonts w:eastAsia="仿宋_GB2312"/>
          <w:color w:val="000000"/>
          <w:sz w:val="32"/>
          <w:szCs w:val="32"/>
          <w:bdr w:val="none" w:sz="0" w:space="0" w:color="auto"/>
        </w:rPr>
        <w:t>1.</w:t>
      </w:r>
      <w:r>
        <w:rPr>
          <w:rFonts w:ascii="仿宋_GB2312" w:eastAsia="仿宋_GB2312" w:cs="Times New Roman" w:hint="eastAsia"/>
          <w:b w:val="0"/>
          <w:i w:val="0"/>
          <w:caps w:val="0"/>
          <w:smallCaps w:val="0"/>
          <w:color w:val="000000"/>
          <w:spacing w:val="0"/>
          <w:w w:val="100"/>
          <w:kern w:val="2"/>
          <w:sz w:val="32"/>
          <w:szCs w:val="32"/>
          <w:lang w:val="en-US" w:eastAsia="zh-CN" w:bidi="ar-SA"/>
        </w:rPr>
        <w:t>全面落实意识形态工作责任制，牢牢把握</w:t>
      </w:r>
      <w:r>
        <w:rPr>
          <w:rFonts w:ascii="仿宋_GB2312" w:eastAsia="仿宋_GB2312" w:cs="Times New Roman"/>
          <w:b w:val="0"/>
          <w:i w:val="0"/>
          <w:caps w:val="0"/>
          <w:smallCaps w:val="0"/>
          <w:color w:val="000000"/>
          <w:spacing w:val="0"/>
          <w:w w:val="100"/>
          <w:kern w:val="2"/>
          <w:sz w:val="32"/>
          <w:szCs w:val="32"/>
          <w:lang w:val="en-US" w:eastAsia="zh-CN" w:bidi="ar-SA"/>
        </w:rPr>
        <w:t>意识形态工作领导权</w:t>
      </w:r>
      <w:r>
        <w:rPr>
          <w:rFonts w:ascii="仿宋_GB2312" w:eastAsia="仿宋_GB2312" w:cs="Times New Roman" w:hint="eastAsia"/>
          <w:b w:val="0"/>
          <w:i w:val="0"/>
          <w:caps w:val="0"/>
          <w:smallCaps w:val="0"/>
          <w:color w:val="000000"/>
          <w:spacing w:val="0"/>
          <w:w w:val="100"/>
          <w:kern w:val="2"/>
          <w:sz w:val="32"/>
          <w:szCs w:val="32"/>
          <w:lang w:val="en-US" w:eastAsia="zh-CN" w:bidi="ar-SA"/>
        </w:rPr>
        <w:t>;</w:t>
      </w:r>
    </w:p>
    <w:p>
      <w:pPr>
        <w:adjustRightInd w:val="0"/>
        <w:snapToGrid w:val="0"/>
        <w:spacing w:line="600" w:lineRule="exact"/>
        <w:ind w:firstLineChars="200" w:firstLine="640"/>
        <w:rPr>
          <w:rFonts w:ascii="仿宋_GB2312" w:eastAsia="仿宋_GB2312" w:cs="Times New Roman" w:hint="eastAsia"/>
          <w:b w:val="0"/>
          <w:i w:val="0"/>
          <w:caps w:val="0"/>
          <w:smallCaps w:val="0"/>
          <w:color w:val="000000"/>
          <w:spacing w:val="0"/>
          <w:w w:val="100"/>
          <w:kern w:val="2"/>
          <w:sz w:val="32"/>
          <w:szCs w:val="32"/>
          <w:lang w:val="en-US" w:eastAsia="zh-CN" w:bidi="ar-SA"/>
        </w:rPr>
      </w:pPr>
      <w:r>
        <w:rPr>
          <w:rFonts w:eastAsia="仿宋_GB2312"/>
          <w:color w:val="000000"/>
          <w:sz w:val="32"/>
          <w:szCs w:val="32"/>
          <w:bdr w:val="none" w:sz="0" w:space="0" w:color="auto"/>
        </w:rPr>
        <w:t>2.加</w:t>
      </w:r>
      <w:r>
        <w:rPr>
          <w:rFonts w:ascii="仿宋_GB2312" w:eastAsia="仿宋_GB2312" w:cs="Times New Roman" w:hint="eastAsia"/>
          <w:b w:val="0"/>
          <w:i w:val="0"/>
          <w:caps w:val="0"/>
          <w:smallCaps w:val="0"/>
          <w:color w:val="000000"/>
          <w:spacing w:val="0"/>
          <w:w w:val="100"/>
          <w:kern w:val="2"/>
          <w:sz w:val="32"/>
          <w:szCs w:val="32"/>
          <w:lang w:val="en-US" w:eastAsia="zh-CN" w:bidi="ar-SA"/>
        </w:rPr>
        <w:t>强党员干部理论学习服务、指导，开展基层理论宣传宣讲，推进理论武装工作；</w:t>
      </w:r>
    </w:p>
    <w:p>
      <w:pPr>
        <w:adjustRightInd w:val="0"/>
        <w:snapToGrid w:val="0"/>
        <w:spacing w:line="600" w:lineRule="exact"/>
        <w:ind w:firstLineChars="200" w:firstLine="640"/>
        <w:rPr>
          <w:rFonts w:ascii="仿宋_GB2312" w:eastAsia="仿宋_GB2312" w:cs="Times New Roman" w:hint="eastAsia"/>
          <w:b w:val="0"/>
          <w:i w:val="0"/>
          <w:caps w:val="0"/>
          <w:smallCaps w:val="0"/>
          <w:color w:val="000000"/>
          <w:spacing w:val="0"/>
          <w:w w:val="100"/>
          <w:kern w:val="2"/>
          <w:sz w:val="32"/>
          <w:szCs w:val="32"/>
          <w:lang w:val="en-US" w:eastAsia="zh-CN" w:bidi="ar-SA"/>
        </w:rPr>
      </w:pPr>
      <w:r>
        <w:rPr>
          <w:rFonts w:eastAsia="仿宋_GB2312"/>
          <w:color w:val="000000"/>
          <w:sz w:val="32"/>
          <w:szCs w:val="32"/>
          <w:bdr w:val="none" w:sz="0" w:space="0" w:color="auto"/>
        </w:rPr>
        <w:t>3.做</w:t>
      </w:r>
      <w:r>
        <w:rPr>
          <w:rFonts w:ascii="仿宋_GB2312" w:eastAsia="仿宋_GB2312" w:cs="Times New Roman" w:hint="eastAsia"/>
          <w:b w:val="0"/>
          <w:i w:val="0"/>
          <w:caps w:val="0"/>
          <w:smallCaps w:val="0"/>
          <w:color w:val="000000"/>
          <w:spacing w:val="0"/>
          <w:w w:val="100"/>
          <w:kern w:val="2"/>
          <w:sz w:val="32"/>
          <w:szCs w:val="32"/>
          <w:lang w:val="en-US" w:eastAsia="zh-CN" w:bidi="ar-SA"/>
        </w:rPr>
        <w:t>好对内对外宣传推广</w:t>
      </w:r>
      <w:r>
        <w:rPr>
          <w:rFonts w:ascii="仿宋_GB2312" w:eastAsia="仿宋_GB2312" w:cs="Times New Roman"/>
          <w:b w:val="0"/>
          <w:i w:val="0"/>
          <w:caps w:val="0"/>
          <w:smallCaps w:val="0"/>
          <w:color w:val="000000"/>
          <w:spacing w:val="0"/>
          <w:w w:val="100"/>
          <w:kern w:val="2"/>
          <w:sz w:val="32"/>
          <w:szCs w:val="32"/>
          <w:lang w:val="en-US" w:eastAsia="zh-CN" w:bidi="ar-SA"/>
        </w:rPr>
        <w:t>，</w:t>
      </w:r>
      <w:r>
        <w:rPr>
          <w:rFonts w:ascii="仿宋_GB2312" w:eastAsia="仿宋_GB2312" w:cs="Times New Roman" w:hint="eastAsia"/>
          <w:b w:val="0"/>
          <w:i w:val="0"/>
          <w:caps w:val="0"/>
          <w:smallCaps w:val="0"/>
          <w:color w:val="000000"/>
          <w:spacing w:val="0"/>
          <w:w w:val="100"/>
          <w:kern w:val="2"/>
          <w:sz w:val="32"/>
          <w:szCs w:val="32"/>
          <w:lang w:val="en-US" w:eastAsia="zh-CN" w:bidi="ar-SA"/>
        </w:rPr>
        <w:t>扩大张家界对外影响，提升知名度和美誉度；</w:t>
      </w:r>
    </w:p>
    <w:p>
      <w:pPr>
        <w:adjustRightInd w:val="0"/>
        <w:snapToGrid w:val="0"/>
        <w:spacing w:line="600" w:lineRule="exact"/>
        <w:ind w:firstLineChars="200" w:firstLine="640"/>
        <w:rPr>
          <w:rFonts w:ascii="仿宋" w:eastAsia="仿宋" w:cs="Times New Roman"/>
          <w:b w:val="0"/>
          <w:i w:val="0"/>
          <w:caps w:val="0"/>
          <w:smallCaps w:val="0"/>
          <w:color w:val="000000"/>
          <w:spacing w:val="0"/>
          <w:w w:val="100"/>
          <w:kern w:val="2"/>
          <w:sz w:val="32"/>
          <w:szCs w:val="32"/>
          <w:lang w:val="en-US" w:eastAsia="zh-CN" w:bidi="ar-SA"/>
        </w:rPr>
      </w:pPr>
      <w:r>
        <w:rPr>
          <w:rFonts w:eastAsia="仿宋_GB2312"/>
          <w:color w:val="000000"/>
          <w:sz w:val="32"/>
          <w:szCs w:val="32"/>
          <w:bdr w:val="none" w:sz="0" w:space="0" w:color="auto"/>
        </w:rPr>
        <w:t>4.推</w:t>
      </w:r>
      <w:r>
        <w:rPr>
          <w:rFonts w:ascii="仿宋_GB2312" w:eastAsia="仿宋_GB2312" w:cs="Times New Roman" w:hint="eastAsia"/>
          <w:b w:val="0"/>
          <w:i w:val="0"/>
          <w:caps w:val="0"/>
          <w:smallCaps w:val="0"/>
          <w:color w:val="000000"/>
          <w:spacing w:val="-2"/>
          <w:w w:val="100"/>
          <w:kern w:val="2"/>
          <w:sz w:val="32"/>
          <w:szCs w:val="32"/>
          <w14:textFill>
            <w14:solidFill>
              <w14:srgbClr w14:val="000000"/>
            </w14:solidFill>
          </w14:textFill>
          <w:lang w:val="en-US" w:eastAsia="zh-CN" w:bidi="ar-SA"/>
        </w:rPr>
        <w:t>进“对标提质旅游强市”“六城同创”等主题宣传，提振人民干事创业的精气神，营造为民服务谋发展的浓厚氛围</w:t>
      </w:r>
      <w:r>
        <w:rPr>
          <w:rFonts w:ascii="仿宋_GB2312" w:eastAsia="仿宋_GB2312" w:cs="Times New Roman" w:hint="eastAsia"/>
          <w:b w:val="0"/>
          <w:i w:val="0"/>
          <w:caps w:val="0"/>
          <w:smallCaps w:val="0"/>
          <w:color w:val="000000"/>
          <w:spacing w:val="0"/>
          <w:w w:val="100"/>
          <w:kern w:val="2"/>
          <w:sz w:val="32"/>
          <w:szCs w:val="32"/>
          <w:lang w:val="en-US" w:eastAsia="zh-CN" w:bidi="ar-SA"/>
        </w:rPr>
        <w:t>；</w:t>
      </w:r>
    </w:p>
    <w:p>
      <w:pPr>
        <w:adjustRightInd w:val="0"/>
        <w:snapToGrid w:val="0"/>
        <w:spacing w:line="600" w:lineRule="exact"/>
        <w:ind w:firstLineChars="200" w:firstLine="640"/>
        <w:rPr>
          <w:rFonts w:ascii="仿宋_GB2312" w:eastAsia="仿宋_GB2312" w:cs="Times New Roman" w:hint="eastAsia"/>
          <w:b w:val="0"/>
          <w:i w:val="0"/>
          <w:caps w:val="0"/>
          <w:smallCaps w:val="0"/>
          <w:color w:val="000000"/>
          <w:spacing w:val="0"/>
          <w:w w:val="100"/>
          <w:kern w:val="2"/>
          <w:sz w:val="32"/>
          <w:szCs w:val="32"/>
          <w:lang w:val="en-US" w:eastAsia="zh-CN" w:bidi="ar-SA"/>
        </w:rPr>
      </w:pPr>
      <w:r>
        <w:rPr>
          <w:rFonts w:eastAsia="仿宋_GB2312"/>
          <w:color w:val="000000"/>
          <w:sz w:val="32"/>
          <w:szCs w:val="32"/>
          <w:bdr w:val="none" w:sz="0" w:space="0" w:color="auto"/>
        </w:rPr>
        <w:t>5.推进</w:t>
      </w:r>
      <w:r>
        <w:rPr>
          <w:rFonts w:ascii="仿宋_GB2312" w:eastAsia="仿宋_GB2312" w:cs="Times New Roman" w:hint="eastAsia"/>
          <w:b w:val="0"/>
          <w:i w:val="0"/>
          <w:caps w:val="0"/>
          <w:smallCaps w:val="0"/>
          <w:color w:val="000000"/>
          <w:spacing w:val="0"/>
          <w:w w:val="100"/>
          <w:kern w:val="2"/>
          <w:sz w:val="32"/>
          <w:szCs w:val="32"/>
          <w:lang w:val="en-US" w:eastAsia="zh-CN" w:bidi="ar-SA"/>
        </w:rPr>
        <w:t>文化体制改革，促进文化事业、文化产业和旅游业繁荣发展；</w:t>
      </w:r>
    </w:p>
    <w:p>
      <w:pPr>
        <w:adjustRightInd w:val="0"/>
        <w:snapToGrid w:val="0"/>
        <w:spacing w:line="600" w:lineRule="exact"/>
        <w:ind w:firstLineChars="200" w:firstLine="640"/>
        <w:rPr>
          <w:rFonts w:ascii="仿宋_GB2312" w:eastAsia="仿宋_GB2312" w:cs="Times New Roman" w:hint="eastAsia"/>
          <w:b w:val="0"/>
          <w:i w:val="0"/>
          <w:caps w:val="0"/>
          <w:smallCaps w:val="0"/>
          <w:color w:val="000000"/>
          <w:spacing w:val="0"/>
          <w:w w:val="100"/>
          <w:kern w:val="2"/>
          <w:sz w:val="32"/>
          <w:szCs w:val="32"/>
          <w:lang w:val="en-US" w:eastAsia="zh-CN" w:bidi="ar-SA"/>
        </w:rPr>
      </w:pPr>
      <w:r>
        <w:rPr>
          <w:rFonts w:eastAsia="仿宋_GB2312"/>
          <w:color w:val="000000"/>
          <w:sz w:val="32"/>
          <w:szCs w:val="32"/>
          <w:bdr w:val="none" w:sz="0" w:space="0" w:color="auto"/>
        </w:rPr>
        <w:t>6.</w:t>
      </w:r>
      <w:r>
        <w:rPr>
          <w:rFonts w:ascii="仿宋_GB2312" w:eastAsia="仿宋_GB2312" w:cs="Times New Roman" w:hint="eastAsia"/>
          <w:b w:val="0"/>
          <w:i w:val="0"/>
          <w:caps w:val="0"/>
          <w:smallCaps w:val="0"/>
          <w:color w:val="000000"/>
          <w:spacing w:val="0"/>
          <w:w w:val="100"/>
          <w:kern w:val="2"/>
          <w:sz w:val="32"/>
          <w:szCs w:val="32"/>
          <w:lang w:val="en-US" w:eastAsia="zh-CN" w:bidi="ar-SA"/>
        </w:rPr>
        <w:t>加强网络文化建设，及时准确掌控、处置涉张舆情，引导社会舆论；</w:t>
      </w:r>
    </w:p>
    <w:p>
      <w:pPr>
        <w:adjustRightInd w:val="0"/>
        <w:snapToGrid w:val="0"/>
        <w:spacing w:line="600" w:lineRule="exact"/>
        <w:ind w:firstLineChars="200" w:firstLine="640"/>
        <w:rPr>
          <w:rFonts w:ascii="仿宋_GB2312" w:eastAsia="仿宋_GB2312" w:cs="Times New Roman" w:hint="eastAsia"/>
          <w:b w:val="0"/>
          <w:i w:val="0"/>
          <w:caps w:val="0"/>
          <w:smallCaps w:val="0"/>
          <w:color w:val="000000"/>
          <w:spacing w:val="0"/>
          <w:w w:val="100"/>
          <w:kern w:val="2"/>
          <w:sz w:val="32"/>
          <w:szCs w:val="32"/>
          <w:lang w:val="en-US" w:eastAsia="zh-CN" w:bidi="ar-SA"/>
        </w:rPr>
      </w:pPr>
      <w:r>
        <w:rPr>
          <w:rFonts w:eastAsia="仿宋_GB2312"/>
          <w:color w:val="000000"/>
          <w:sz w:val="32"/>
          <w:szCs w:val="32"/>
          <w:bdr w:val="none" w:sz="0" w:space="0" w:color="auto"/>
        </w:rPr>
        <w:t>7.推</w:t>
      </w:r>
      <w:r>
        <w:rPr>
          <w:rFonts w:ascii="仿宋_GB2312" w:eastAsia="仿宋_GB2312" w:cs="Times New Roman" w:hint="eastAsia"/>
          <w:b w:val="0"/>
          <w:i w:val="0"/>
          <w:caps w:val="0"/>
          <w:smallCaps w:val="0"/>
          <w:color w:val="000000"/>
          <w:spacing w:val="0"/>
          <w:w w:val="100"/>
          <w:kern w:val="2"/>
          <w:sz w:val="32"/>
          <w:szCs w:val="32"/>
          <w:lang w:val="en-US" w:eastAsia="zh-CN" w:bidi="ar-SA"/>
        </w:rPr>
        <w:t>进精神文明建设，深化群众性精神文明创建活动，提升市民文明素质和社会文明程度；</w:t>
      </w:r>
    </w:p>
    <w:p>
      <w:pPr>
        <w:adjustRightInd w:val="0"/>
        <w:snapToGrid w:val="0"/>
        <w:spacing w:line="600" w:lineRule="exact"/>
        <w:ind w:firstLineChars="200" w:firstLine="640"/>
        <w:rPr>
          <w:rFonts w:ascii="Times New Roman" w:eastAsia="黑体" w:hAnsi="Times New Roman"/>
          <w:b w:val="0"/>
          <w:i w:val="0"/>
          <w:caps w:val="0"/>
          <w:smallCaps w:val="0"/>
          <w:color w:val="000000"/>
          <w:spacing w:val="0"/>
          <w:w w:val="100"/>
          <w:sz w:val="32"/>
          <w:szCs w:val="32"/>
        </w:rPr>
      </w:pPr>
      <w:r>
        <w:rPr>
          <w:rFonts w:eastAsia="仿宋_GB2312"/>
          <w:b w:val="0"/>
          <w:i w:val="0"/>
          <w:caps w:val="0"/>
          <w:smallCaps w:val="0"/>
          <w:color w:val="000000"/>
          <w:spacing w:val="0"/>
          <w:w w:val="100"/>
          <w:kern w:val="2"/>
          <w:sz w:val="32"/>
          <w:szCs w:val="32"/>
          <w:lang w:val="en-US" w:eastAsia="zh-CN" w:bidi="ar-SA"/>
        </w:rPr>
        <w:t>8.保障</w:t>
      </w:r>
      <w:r>
        <w:rPr>
          <w:rFonts w:ascii="仿宋_GB2312" w:eastAsia="仿宋_GB2312" w:cs="Times New Roman" w:hint="eastAsia"/>
          <w:b w:val="0"/>
          <w:i w:val="0"/>
          <w:caps w:val="0"/>
          <w:smallCaps w:val="0"/>
          <w:color w:val="000000"/>
          <w:spacing w:val="0"/>
          <w:w w:val="100"/>
          <w:kern w:val="2"/>
          <w:sz w:val="32"/>
          <w:szCs w:val="32"/>
          <w:lang w:val="en-US" w:eastAsia="zh-CN" w:bidi="ar-SA"/>
        </w:rPr>
        <w:t>市委宣传部机关工作有序运转；完成市委交</w:t>
      </w:r>
      <w:r>
        <w:rPr>
          <w:rFonts w:ascii="仿宋_GB2312" w:eastAsia="仿宋_GB2312" w:cs="Times New Roman"/>
          <w:b w:val="0"/>
          <w:i w:val="0"/>
          <w:caps w:val="0"/>
          <w:smallCaps w:val="0"/>
          <w:color w:val="000000"/>
          <w:spacing w:val="0"/>
          <w:w w:val="100"/>
          <w:kern w:val="2"/>
          <w:sz w:val="32"/>
          <w:szCs w:val="32"/>
          <w:lang w:val="en-US" w:eastAsia="zh-CN" w:bidi="ar-SA"/>
        </w:rPr>
        <w:t>办</w:t>
      </w:r>
      <w:r>
        <w:rPr>
          <w:rFonts w:ascii="仿宋_GB2312" w:eastAsia="仿宋_GB2312" w:cs="Times New Roman" w:hint="eastAsia"/>
          <w:b w:val="0"/>
          <w:i w:val="0"/>
          <w:caps w:val="0"/>
          <w:smallCaps w:val="0"/>
          <w:color w:val="000000"/>
          <w:spacing w:val="0"/>
          <w:w w:val="100"/>
          <w:kern w:val="2"/>
          <w:sz w:val="32"/>
          <w:szCs w:val="32"/>
          <w:lang w:val="en-US" w:eastAsia="zh-CN" w:bidi="ar-SA"/>
        </w:rPr>
        <w:t>的其他工作任务。</w:t>
      </w:r>
    </w:p>
    <w:p>
      <w:pPr>
        <w:adjustRightInd w:val="0"/>
        <w:snapToGrid w:val="0"/>
        <w:spacing w:line="600" w:lineRule="exact"/>
        <w:ind w:firstLineChars="200" w:firstLine="640"/>
        <w:rPr>
          <w:rFonts w:ascii="Times New Roman" w:eastAsia="楷体_GB2312" w:hAnsi="Times New Roman"/>
          <w:b/>
          <w:i w:val="0"/>
          <w:caps w:val="0"/>
          <w:smallCaps w:val="0"/>
          <w:color w:val="000000"/>
          <w:spacing w:val="0"/>
          <w:w w:val="100"/>
          <w:sz w:val="32"/>
          <w:szCs w:val="32"/>
        </w:rPr>
      </w:pPr>
      <w:r>
        <w:rPr>
          <w:rFonts w:ascii="Times New Roman" w:eastAsia="黑体" w:hAnsi="Times New Roman"/>
          <w:b w:val="0"/>
          <w:i w:val="0"/>
          <w:caps w:val="0"/>
          <w:smallCaps w:val="0"/>
          <w:color w:val="000000"/>
          <w:spacing w:val="0"/>
          <w:w w:val="100"/>
          <w:sz w:val="32"/>
          <w:szCs w:val="32"/>
        </w:rPr>
        <w:t>二、一般公共预算支出情况</w:t>
      </w:r>
    </w:p>
    <w:p>
      <w:pPr>
        <w:adjustRightInd w:val="0"/>
        <w:snapToGrid w:val="0"/>
        <w:spacing w:line="600" w:lineRule="exact"/>
        <w:ind w:firstLineChars="200" w:firstLine="640"/>
        <w:rPr>
          <w:b w:val="0"/>
          <w:i w:val="0"/>
          <w:caps w:val="0"/>
          <w:smallCaps w:val="0"/>
          <w:color w:val="000000"/>
          <w:spacing w:val="0"/>
          <w:w w:val="100"/>
          <w:sz w:val="32"/>
          <w:szCs w:val="32"/>
        </w:rPr>
      </w:pPr>
      <w:r>
        <w:rPr>
          <w:rFonts w:ascii="楷体_GB2312" w:eastAsia="楷体_GB2312" w:hint="eastAsia"/>
          <w:i w:val="0"/>
          <w:caps w:val="0"/>
          <w:smallCaps w:val="0"/>
          <w:color w:val="000000"/>
          <w:spacing w:val="0"/>
          <w:w w:val="100"/>
          <w:sz w:val="32"/>
          <w:szCs w:val="32"/>
        </w:rPr>
        <w:t>（一）基本支出情况</w:t>
      </w:r>
    </w:p>
    <w:p>
      <w:pPr>
        <w:adjustRightInd w:val="0"/>
        <w:snapToGrid w:val="0"/>
        <w:spacing w:line="600" w:lineRule="exact"/>
        <w:ind w:firstLineChars="200" w:firstLine="640"/>
        <w:rPr>
          <w:b w:val="0"/>
          <w:i w:val="0"/>
          <w:caps w:val="0"/>
          <w:smallCaps w:val="0"/>
          <w:color w:val="000000"/>
          <w:spacing w:val="0"/>
          <w:w w:val="100"/>
          <w:sz w:val="32"/>
          <w:szCs w:val="32"/>
          <w:lang w:val="en-US" w:eastAsia="zh-CN"/>
        </w:rPr>
      </w:pPr>
      <w:r>
        <w:rPr>
          <w:rFonts w:eastAsia="仿宋_GB2312"/>
          <w:b w:val="0"/>
          <w:i w:val="0"/>
          <w:caps w:val="0"/>
          <w:smallCaps w:val="0"/>
          <w:color w:val="000000"/>
          <w:spacing w:val="0"/>
          <w:w w:val="100"/>
          <w:sz w:val="32"/>
          <w:szCs w:val="32"/>
        </w:rPr>
        <w:t>2020年度财政拨款基本支出</w:t>
      </w:r>
      <w:r>
        <w:rPr>
          <w:rFonts w:eastAsia="仿宋_GB2312"/>
          <w:b w:val="0"/>
          <w:i w:val="0"/>
          <w:caps w:val="0"/>
          <w:smallCaps w:val="0"/>
          <w:color w:val="000000"/>
          <w:spacing w:val="0"/>
          <w:w w:val="100"/>
          <w:sz w:val="32"/>
          <w:szCs w:val="32"/>
          <w:lang w:val="en-US" w:eastAsia="zh-CN"/>
        </w:rPr>
        <w:t>955.86</w:t>
      </w:r>
      <w:r>
        <w:rPr>
          <w:rFonts w:eastAsia="仿宋_GB2312"/>
          <w:b w:val="0"/>
          <w:i w:val="0"/>
          <w:caps w:val="0"/>
          <w:smallCaps w:val="0"/>
          <w:color w:val="000000"/>
          <w:spacing w:val="0"/>
          <w:w w:val="100"/>
          <w:sz w:val="32"/>
          <w:szCs w:val="32"/>
        </w:rPr>
        <w:t>万元，其中：人员经费</w:t>
      </w:r>
      <w:r>
        <w:rPr>
          <w:rFonts w:eastAsia="仿宋_GB2312"/>
          <w:b w:val="0"/>
          <w:i w:val="0"/>
          <w:caps w:val="0"/>
          <w:smallCaps w:val="0"/>
          <w:color w:val="000000"/>
          <w:spacing w:val="0"/>
          <w:w w:val="100"/>
          <w:sz w:val="32"/>
          <w:szCs w:val="32"/>
          <w:lang w:val="en-US" w:eastAsia="zh-CN"/>
        </w:rPr>
        <w:t>587.18</w:t>
      </w:r>
      <w:r>
        <w:rPr>
          <w:rFonts w:eastAsia="仿宋_GB2312"/>
          <w:b w:val="0"/>
          <w:i w:val="0"/>
          <w:caps w:val="0"/>
          <w:smallCaps w:val="0"/>
          <w:color w:val="000000"/>
          <w:spacing w:val="0"/>
          <w:w w:val="100"/>
          <w:sz w:val="32"/>
          <w:szCs w:val="32"/>
        </w:rPr>
        <w:t>万元，占基本支出的</w:t>
      </w:r>
      <w:r>
        <w:rPr>
          <w:rFonts w:eastAsia="仿宋_GB2312"/>
          <w:b w:val="0"/>
          <w:i w:val="0"/>
          <w:caps w:val="0"/>
          <w:smallCaps w:val="0"/>
          <w:color w:val="000000"/>
          <w:spacing w:val="0"/>
          <w:w w:val="100"/>
          <w:sz w:val="32"/>
          <w:szCs w:val="32"/>
          <w:lang w:val="en-US" w:eastAsia="zh-CN"/>
        </w:rPr>
        <w:t>61.43</w:t>
      </w:r>
      <w:r>
        <w:rPr>
          <w:rFonts w:eastAsia="仿宋_GB2312"/>
          <w:b w:val="0"/>
          <w:i w:val="0"/>
          <w:caps w:val="0"/>
          <w:smallCaps w:val="0"/>
          <w:color w:val="000000"/>
          <w:spacing w:val="0"/>
          <w:w w:val="100"/>
          <w:sz w:val="32"/>
          <w:szCs w:val="32"/>
        </w:rPr>
        <w:t>%,主要包括基本工资、津贴补贴、奖金、基本养老保险缴费、基本医疗保险缴费、住房公积金；公用经费</w:t>
      </w:r>
      <w:r>
        <w:rPr>
          <w:rFonts w:eastAsia="仿宋_GB2312"/>
          <w:b w:val="0"/>
          <w:i w:val="0"/>
          <w:caps w:val="0"/>
          <w:smallCaps w:val="0"/>
          <w:color w:val="000000"/>
          <w:spacing w:val="0"/>
          <w:w w:val="100"/>
          <w:sz w:val="32"/>
          <w:szCs w:val="32"/>
          <w:lang w:val="en-US" w:eastAsia="zh-CN"/>
        </w:rPr>
        <w:t>368.69</w:t>
      </w:r>
      <w:r>
        <w:rPr>
          <w:rFonts w:eastAsia="仿宋_GB2312"/>
          <w:b w:val="0"/>
          <w:i w:val="0"/>
          <w:caps w:val="0"/>
          <w:smallCaps w:val="0"/>
          <w:color w:val="000000"/>
          <w:spacing w:val="0"/>
          <w:w w:val="100"/>
          <w:sz w:val="32"/>
          <w:szCs w:val="32"/>
        </w:rPr>
        <w:t>万元，占基本支出的</w:t>
      </w:r>
      <w:r>
        <w:rPr>
          <w:rFonts w:eastAsia="仿宋_GB2312"/>
          <w:b w:val="0"/>
          <w:i w:val="0"/>
          <w:caps w:val="0"/>
          <w:smallCaps w:val="0"/>
          <w:color w:val="000000"/>
          <w:spacing w:val="0"/>
          <w:w w:val="100"/>
          <w:sz w:val="32"/>
          <w:szCs w:val="32"/>
          <w:lang w:val="en-US" w:eastAsia="zh-CN"/>
        </w:rPr>
        <w:t>38.57</w:t>
      </w:r>
      <w:r>
        <w:rPr>
          <w:rFonts w:eastAsia="仿宋_GB2312"/>
          <w:b w:val="0"/>
          <w:i w:val="0"/>
          <w:caps w:val="0"/>
          <w:smallCaps w:val="0"/>
          <w:color w:val="000000"/>
          <w:spacing w:val="0"/>
          <w:w w:val="100"/>
          <w:sz w:val="32"/>
          <w:szCs w:val="32"/>
        </w:rPr>
        <w:t>%，</w:t>
      </w:r>
      <w:r>
        <w:rPr>
          <w:rFonts w:ascii="仿宋_GB2312" w:eastAsia="仿宋_GB2312" w:hint="eastAsia"/>
          <w:b w:val="0"/>
          <w:i w:val="0"/>
          <w:caps w:val="0"/>
          <w:smallCaps w:val="0"/>
          <w:color w:val="000000"/>
          <w:spacing w:val="0"/>
          <w:w w:val="100"/>
          <w:sz w:val="32"/>
          <w:szCs w:val="32"/>
        </w:rPr>
        <w:t>主要包括差旅费、公务用车运行维护费、租赁费、其他交通费、劳务费、工会经费、办公费。</w:t>
      </w:r>
    </w:p>
    <w:p>
      <w:pPr>
        <w:adjustRightInd w:val="0"/>
        <w:snapToGrid w:val="0"/>
        <w:spacing w:line="600" w:lineRule="exact"/>
        <w:ind w:firstLineChars="200" w:firstLine="640"/>
        <w:rPr>
          <w:rFonts w:ascii="Times New Roman" w:eastAsia="楷体_GB2312" w:hAnsi="Times New Roman"/>
          <w:b/>
          <w:i w:val="0"/>
          <w:caps w:val="0"/>
          <w:smallCaps w:val="0"/>
          <w:color w:val="000000"/>
          <w:spacing w:val="0"/>
          <w:w w:val="100"/>
          <w:sz w:val="32"/>
          <w:szCs w:val="32"/>
        </w:rPr>
      </w:pPr>
      <w:r>
        <w:rPr>
          <w:rFonts w:ascii="仿宋_GB2312" w:eastAsia="仿宋_GB2312" w:hint="eastAsia"/>
          <w:b w:val="0"/>
          <w:i w:val="0"/>
          <w:caps w:val="0"/>
          <w:smallCaps w:val="0"/>
          <w:color w:val="000000"/>
          <w:spacing w:val="0"/>
          <w:w w:val="100"/>
          <w:sz w:val="32"/>
          <w:szCs w:val="32"/>
          <w:lang w:val="en-US" w:eastAsia="zh-CN"/>
        </w:rPr>
        <w:t>在预算执行过程中，我单位按要求规范操作，总体控制得当，认真执行中央八项规定和《党政机关厉行节约反对浪费条例》，严格控制“三公”经费支出。</w:t>
      </w:r>
    </w:p>
    <w:p>
      <w:pPr>
        <w:adjustRightInd w:val="0"/>
        <w:snapToGrid w:val="0"/>
        <w:spacing w:line="600" w:lineRule="exact"/>
        <w:ind w:firstLineChars="200" w:firstLine="640"/>
        <w:rPr>
          <w:rFonts w:eastAsia="仿宋_GB2312"/>
          <w:b/>
          <w:bCs/>
          <w:i w:val="0"/>
          <w:caps w:val="0"/>
          <w:smallCaps w:val="0"/>
          <w:color w:val="000000"/>
          <w:spacing w:val="0"/>
          <w:w w:val="100"/>
          <w:sz w:val="32"/>
          <w:szCs w:val="32"/>
          <w:lang w:val="en-US" w:eastAsia="zh-CN"/>
        </w:rPr>
      </w:pPr>
      <w:r>
        <w:rPr>
          <w:rFonts w:ascii="Times New Roman" w:eastAsia="楷体_GB2312" w:hAnsi="Times New Roman"/>
          <w:i w:val="0"/>
          <w:caps w:val="0"/>
          <w:smallCaps w:val="0"/>
          <w:color w:val="000000"/>
          <w:spacing w:val="0"/>
          <w:w w:val="100"/>
          <w:sz w:val="32"/>
          <w:szCs w:val="32"/>
        </w:rPr>
        <w:t>（二）项目支出情况</w:t>
      </w:r>
    </w:p>
    <w:p>
      <w:pPr>
        <w:adjustRightInd w:val="0"/>
        <w:snapToGrid w:val="0"/>
        <w:spacing w:line="600" w:lineRule="exact"/>
        <w:ind w:firstLineChars="200" w:firstLine="640"/>
        <w:rPr>
          <w:rFonts w:eastAsia="仿宋_GB2312"/>
          <w:b w:val="0"/>
          <w:i w:val="0"/>
          <w:caps w:val="0"/>
          <w:smallCaps w:val="0"/>
          <w:color w:val="000000"/>
          <w:spacing w:val="0"/>
          <w:w w:val="100"/>
          <w:sz w:val="32"/>
          <w:szCs w:val="32"/>
          <w:lang w:val="en-US" w:eastAsia="zh-CN"/>
        </w:rPr>
      </w:pPr>
      <w:r>
        <w:rPr>
          <w:rFonts w:eastAsia="仿宋_GB2312"/>
          <w:i w:val="0"/>
          <w:caps w:val="0"/>
          <w:smallCaps w:val="0"/>
          <w:color w:val="000000"/>
          <w:spacing w:val="0"/>
          <w:w w:val="100"/>
          <w:sz w:val="32"/>
          <w:szCs w:val="32"/>
          <w:lang w:val="en-US" w:eastAsia="zh-CN"/>
        </w:rPr>
        <w:t>1.</w:t>
      </w:r>
      <w:r>
        <w:rPr>
          <w:rFonts w:eastAsia="仿宋_GB2312" w:hint="eastAsia"/>
          <w:b/>
          <w:bCs/>
          <w:i w:val="0"/>
          <w:caps w:val="0"/>
          <w:smallCaps w:val="0"/>
          <w:color w:val="000000"/>
          <w:spacing w:val="0"/>
          <w:w w:val="100"/>
          <w:sz w:val="32"/>
          <w:szCs w:val="32"/>
          <w:lang w:val="en-US" w:eastAsia="zh-CN"/>
        </w:rPr>
        <w:t>项目</w:t>
      </w:r>
      <w:r>
        <w:rPr>
          <w:rFonts w:eastAsia="仿宋_GB2312"/>
          <w:b/>
          <w:bCs/>
          <w:i w:val="0"/>
          <w:caps w:val="0"/>
          <w:smallCaps w:val="0"/>
          <w:color w:val="000000"/>
          <w:spacing w:val="0"/>
          <w:w w:val="100"/>
          <w:sz w:val="32"/>
          <w:szCs w:val="32"/>
        </w:rPr>
        <w:t>安排</w:t>
      </w:r>
      <w:r>
        <w:rPr>
          <w:rFonts w:eastAsia="仿宋_GB2312" w:hint="eastAsia"/>
          <w:b/>
          <w:bCs/>
          <w:i w:val="0"/>
          <w:caps w:val="0"/>
          <w:smallCaps w:val="0"/>
          <w:color w:val="000000"/>
          <w:spacing w:val="0"/>
          <w:w w:val="100"/>
          <w:sz w:val="32"/>
          <w:szCs w:val="32"/>
          <w:lang w:val="en-US" w:eastAsia="zh-CN"/>
        </w:rPr>
        <w:t>及</w:t>
      </w:r>
      <w:r>
        <w:rPr>
          <w:rFonts w:eastAsia="仿宋_GB2312"/>
          <w:b/>
          <w:bCs/>
          <w:i w:val="0"/>
          <w:caps w:val="0"/>
          <w:smallCaps w:val="0"/>
          <w:color w:val="000000"/>
          <w:spacing w:val="0"/>
          <w:w w:val="100"/>
          <w:sz w:val="32"/>
          <w:szCs w:val="32"/>
        </w:rPr>
        <w:t>使用管理情况</w:t>
      </w:r>
    </w:p>
    <w:p>
      <w:pPr>
        <w:adjustRightInd w:val="0"/>
        <w:snapToGrid w:val="0"/>
        <w:spacing w:line="600" w:lineRule="exact"/>
        <w:ind w:firstLineChars="200" w:firstLine="640"/>
        <w:rPr>
          <w:rFonts w:eastAsia="仿宋_GB2312"/>
          <w:b w:val="0"/>
          <w:i w:val="0"/>
          <w:caps w:val="0"/>
          <w:smallCaps w:val="0"/>
          <w:color w:val="000000"/>
          <w:spacing w:val="0"/>
          <w:w w:val="100"/>
          <w:sz w:val="32"/>
          <w:szCs w:val="32"/>
        </w:rPr>
      </w:pPr>
      <w:r>
        <w:rPr>
          <w:rFonts w:eastAsia="仿宋_GB2312"/>
          <w:b w:val="0"/>
          <w:i w:val="0"/>
          <w:caps w:val="0"/>
          <w:smallCaps w:val="0"/>
          <w:color w:val="000000"/>
          <w:spacing w:val="0"/>
          <w:w w:val="100"/>
          <w:sz w:val="32"/>
          <w:szCs w:val="32"/>
          <w:lang w:val="en-US" w:eastAsia="zh-CN"/>
        </w:rPr>
        <w:t>根据专项资金的特点及实际情况，我单位严格按照项目资金相关制度管理专项资金，做到专款专用，确保各项工作任务顺利完成。</w:t>
      </w:r>
    </w:p>
    <w:p>
      <w:pPr>
        <w:adjustRightInd w:val="0"/>
        <w:snapToGrid w:val="0"/>
        <w:spacing w:line="600" w:lineRule="exact"/>
        <w:ind w:firstLineChars="200" w:firstLine="640"/>
        <w:rPr>
          <w:rFonts w:eastAsia="仿宋_GB2312"/>
          <w:b w:val="0"/>
          <w:i w:val="0"/>
          <w:caps w:val="0"/>
          <w:smallCaps w:val="0"/>
          <w:color w:val="000000"/>
          <w:spacing w:val="0"/>
          <w:w w:val="100"/>
          <w:sz w:val="32"/>
          <w:szCs w:val="32"/>
          <w:lang w:val="en-US" w:eastAsia="zh-CN"/>
        </w:rPr>
      </w:pPr>
      <w:r>
        <w:rPr>
          <w:rFonts w:eastAsia="仿宋_GB2312"/>
          <w:b w:val="0"/>
          <w:i w:val="0"/>
          <w:caps w:val="0"/>
          <w:smallCaps w:val="0"/>
          <w:color w:val="000000"/>
          <w:spacing w:val="0"/>
          <w:w w:val="100"/>
          <w:sz w:val="32"/>
          <w:szCs w:val="32"/>
        </w:rPr>
        <w:t>2020年度</w:t>
      </w:r>
      <w:r>
        <w:rPr>
          <w:rFonts w:eastAsia="仿宋_GB2312"/>
          <w:b w:val="0"/>
          <w:i w:val="0"/>
          <w:caps w:val="0"/>
          <w:smallCaps w:val="0"/>
          <w:color w:val="000000"/>
          <w:spacing w:val="0"/>
          <w:w w:val="100"/>
          <w:sz w:val="32"/>
          <w:szCs w:val="32"/>
          <w:lang w:eastAsia="zh-CN"/>
        </w:rPr>
        <w:t>，</w:t>
      </w:r>
      <w:r>
        <w:rPr>
          <w:rFonts w:eastAsia="仿宋_GB2312"/>
          <w:b w:val="0"/>
          <w:i w:val="0"/>
          <w:caps w:val="0"/>
          <w:smallCaps w:val="0"/>
          <w:color w:val="000000"/>
          <w:spacing w:val="0"/>
          <w:w w:val="100"/>
          <w:sz w:val="32"/>
          <w:szCs w:val="32"/>
          <w:lang w:val="en-US" w:eastAsia="zh-CN"/>
        </w:rPr>
        <w:t>本单位项目资金支出合计490.06</w:t>
      </w:r>
      <w:r>
        <w:rPr>
          <w:rFonts w:eastAsia="仿宋_GB2312"/>
          <w:b w:val="0"/>
          <w:i w:val="0"/>
          <w:caps w:val="0"/>
          <w:smallCaps w:val="0"/>
          <w:color w:val="000000"/>
          <w:spacing w:val="0"/>
          <w:w w:val="100"/>
          <w:sz w:val="32"/>
          <w:szCs w:val="32"/>
        </w:rPr>
        <w:t>万元</w:t>
      </w:r>
      <w:r>
        <w:rPr>
          <w:rFonts w:eastAsia="仿宋_GB2312"/>
          <w:b w:val="0"/>
          <w:i w:val="0"/>
          <w:caps w:val="0"/>
          <w:smallCaps w:val="0"/>
          <w:color w:val="000000"/>
          <w:spacing w:val="-11"/>
          <w:w w:val="100"/>
          <w:kern w:val="0"/>
          <w:sz w:val="32"/>
          <w:szCs w:val="32"/>
        </w:rPr>
        <w:t>。</w:t>
      </w:r>
      <w:r>
        <w:rPr>
          <w:rFonts w:eastAsia="仿宋_GB2312"/>
          <w:b w:val="0"/>
          <w:i w:val="0"/>
          <w:caps w:val="0"/>
          <w:smallCaps w:val="0"/>
          <w:color w:val="000000"/>
          <w:spacing w:val="0"/>
          <w:w w:val="100"/>
          <w:sz w:val="32"/>
          <w:szCs w:val="32"/>
        </w:rPr>
        <w:t>主要来源于财政拨款中的项目经费</w:t>
      </w:r>
      <w:r>
        <w:rPr>
          <w:rFonts w:eastAsia="仿宋_GB2312" w:hint="eastAsia"/>
          <w:b w:val="0"/>
          <w:i w:val="0"/>
          <w:caps w:val="0"/>
          <w:smallCaps w:val="0"/>
          <w:color w:val="000000"/>
          <w:spacing w:val="0"/>
          <w:w w:val="100"/>
          <w:sz w:val="32"/>
          <w:szCs w:val="32"/>
        </w:rPr>
        <w:t>——</w:t>
      </w:r>
      <w:r>
        <w:rPr>
          <w:rFonts w:eastAsia="仿宋_GB2312"/>
          <w:b w:val="0"/>
          <w:i w:val="0"/>
          <w:caps w:val="0"/>
          <w:smallCaps w:val="0"/>
          <w:color w:val="000000"/>
          <w:spacing w:val="0"/>
          <w:w w:val="100"/>
          <w:sz w:val="32"/>
          <w:szCs w:val="32"/>
        </w:rPr>
        <w:t>专项业务经费，主要用于全市文明建设工作经费，六城同创工作经费</w:t>
      </w:r>
      <w:r>
        <w:rPr>
          <w:rFonts w:eastAsia="仿宋_GB2312"/>
          <w:b w:val="0"/>
          <w:i w:val="0"/>
          <w:caps w:val="0"/>
          <w:smallCaps w:val="0"/>
          <w:color w:val="000000"/>
          <w:spacing w:val="0"/>
          <w:w w:val="100"/>
          <w:sz w:val="32"/>
          <w:szCs w:val="32"/>
          <w:lang w:val="en-US" w:eastAsia="zh-CN"/>
        </w:rPr>
        <w:t>及新时代文明实践中心建设工作经费。</w:t>
      </w:r>
    </w:p>
    <w:p>
      <w:pPr>
        <w:adjustRightInd w:val="0"/>
        <w:snapToGrid w:val="0"/>
        <w:spacing w:line="600" w:lineRule="exact"/>
        <w:ind w:firstLineChars="200" w:firstLine="640"/>
        <w:rPr>
          <w:rFonts w:eastAsia="仿宋_GB2312"/>
          <w:b w:val="0"/>
          <w:i w:val="0"/>
          <w:caps w:val="0"/>
          <w:smallCaps w:val="0"/>
          <w:color w:val="000000"/>
          <w:spacing w:val="0"/>
          <w:w w:val="100"/>
          <w:sz w:val="32"/>
          <w:szCs w:val="32"/>
          <w:lang w:val="en-US" w:eastAsia="zh-CN"/>
        </w:rPr>
      </w:pPr>
      <w:r>
        <w:rPr>
          <w:rFonts w:eastAsia="仿宋"/>
          <w:b w:val="0"/>
          <w:i w:val="0"/>
          <w:caps w:val="0"/>
          <w:smallCaps w:val="0"/>
          <w:color w:val="000000"/>
          <w:spacing w:val="0"/>
          <w:w w:val="100"/>
          <w:sz w:val="32"/>
          <w:szCs w:val="32"/>
          <w:lang w:val="en-US" w:eastAsia="zh-CN"/>
        </w:rPr>
        <w:t>2.</w:t>
      </w:r>
      <w:r>
        <w:rPr>
          <w:rFonts w:eastAsia="仿宋_GB2312" w:hint="eastAsia"/>
          <w:b/>
          <w:bCs/>
          <w:i w:val="0"/>
          <w:caps w:val="0"/>
          <w:smallCaps w:val="0"/>
          <w:color w:val="000000"/>
          <w:spacing w:val="0"/>
          <w:w w:val="100"/>
          <w:sz w:val="32"/>
          <w:szCs w:val="32"/>
          <w:lang w:val="en-US" w:eastAsia="zh-CN"/>
        </w:rPr>
        <w:t>项目资金管理情况</w:t>
      </w:r>
    </w:p>
    <w:p>
      <w:pPr>
        <w:adjustRightInd w:val="0"/>
        <w:snapToGrid w:val="0"/>
        <w:spacing w:line="600" w:lineRule="exact"/>
        <w:ind w:firstLineChars="200" w:firstLine="640"/>
        <w:rPr>
          <w:rFonts w:eastAsia="仿宋_GB2312"/>
          <w:b w:val="0"/>
          <w:i w:val="0"/>
          <w:caps w:val="0"/>
          <w:smallCaps w:val="0"/>
          <w:color w:val="000000"/>
          <w:spacing w:val="0"/>
          <w:w w:val="100"/>
          <w:sz w:val="32"/>
          <w:szCs w:val="32"/>
          <w:lang w:val="en-US" w:eastAsia="zh-CN"/>
        </w:rPr>
      </w:pPr>
      <w:r>
        <w:rPr>
          <w:rFonts w:eastAsia="仿宋_GB2312" w:hint="eastAsia"/>
          <w:b w:val="0"/>
          <w:i w:val="0"/>
          <w:caps w:val="0"/>
          <w:smallCaps w:val="0"/>
          <w:color w:val="000000"/>
          <w:spacing w:val="0"/>
          <w:w w:val="100"/>
          <w:sz w:val="32"/>
          <w:szCs w:val="32"/>
          <w:lang w:val="en-US" w:eastAsia="zh-CN"/>
        </w:rPr>
        <w:t>严格按照相关规定要求，做好账务处理，对需要执行政府采购程序的业务严格执行相关规定，在资金使用过程中，严把监督审核关，审核确认后再付款。严格控制各项费用支出，贯彻执行勤俭办公方针，提高资金使用效益，安全规范资金使用。</w:t>
      </w:r>
    </w:p>
    <w:p>
      <w:pPr>
        <w:adjustRightInd w:val="0"/>
        <w:snapToGrid w:val="0"/>
        <w:spacing w:line="600" w:lineRule="exact"/>
        <w:ind w:firstLineChars="200" w:firstLine="640"/>
        <w:rPr>
          <w:rFonts w:ascii="仿宋" w:eastAsia="仿宋" w:cs="仿宋"/>
          <w:b w:val="0"/>
          <w:i w:val="0"/>
          <w:caps w:val="0"/>
          <w:smallCaps w:val="0"/>
          <w:color w:val="000000"/>
          <w:spacing w:val="0"/>
          <w:w w:val="100"/>
          <w:sz w:val="32"/>
          <w:szCs w:val="32"/>
          <w:lang w:val="en-US" w:eastAsia="zh-CN"/>
        </w:rPr>
      </w:pPr>
      <w:r>
        <w:rPr>
          <w:rFonts w:ascii="黑体" w:eastAsia="黑体" w:hint="eastAsia"/>
          <w:b w:val="0"/>
          <w:i w:val="0"/>
          <w:caps w:val="0"/>
          <w:smallCaps w:val="0"/>
          <w:color w:val="000000"/>
          <w:spacing w:val="0"/>
          <w:w w:val="100"/>
          <w:sz w:val="32"/>
          <w:szCs w:val="32"/>
          <w:lang w:val="en-US" w:eastAsia="zh-CN"/>
        </w:rPr>
        <w:t>三、</w:t>
      </w:r>
      <w:r>
        <w:rPr>
          <w:rFonts w:ascii="黑体" w:eastAsia="黑体" w:hint="eastAsia"/>
          <w:b w:val="0"/>
          <w:i w:val="0"/>
          <w:caps w:val="0"/>
          <w:smallCaps w:val="0"/>
          <w:color w:val="000000"/>
          <w:spacing w:val="0"/>
          <w:w w:val="100"/>
          <w:sz w:val="32"/>
          <w:szCs w:val="32"/>
        </w:rPr>
        <w:t>政府性基金预算支出情况</w:t>
      </w:r>
    </w:p>
    <w:p>
      <w:pPr>
        <w:adjustRightInd w:val="0"/>
        <w:snapToGrid w:val="0"/>
        <w:spacing w:line="600" w:lineRule="exact"/>
        <w:ind w:firstLineChars="200" w:firstLine="640"/>
        <w:rPr>
          <w:rFonts w:ascii="仿宋_GB2312" w:eastAsia="仿宋_GB2312" w:cs="仿宋"/>
          <w:b w:val="0"/>
          <w:i w:val="0"/>
          <w:caps w:val="0"/>
          <w:smallCaps w:val="0"/>
          <w:color w:val="000000"/>
          <w:spacing w:val="0"/>
          <w:w w:val="100"/>
          <w:sz w:val="32"/>
          <w:szCs w:val="32"/>
          <w:lang w:val="en-US" w:eastAsia="zh-CN"/>
        </w:rPr>
      </w:pPr>
      <w:r>
        <w:rPr>
          <w:rFonts w:ascii="仿宋_GB2312" w:eastAsia="仿宋_GB2312" w:cs="仿宋" w:hint="eastAsia"/>
          <w:b w:val="0"/>
          <w:i w:val="0"/>
          <w:caps w:val="0"/>
          <w:smallCaps w:val="0"/>
          <w:color w:val="000000"/>
          <w:spacing w:val="0"/>
          <w:w w:val="100"/>
          <w:sz w:val="32"/>
          <w:szCs w:val="32"/>
          <w:lang w:val="en-US" w:eastAsia="zh-CN"/>
        </w:rPr>
        <w:t>本单位无此项预算支出</w:t>
      </w:r>
    </w:p>
    <w:p>
      <w:pPr>
        <w:adjustRightInd w:val="0"/>
        <w:snapToGrid w:val="0"/>
        <w:spacing w:line="600" w:lineRule="exact"/>
        <w:ind w:firstLineChars="200" w:firstLine="640"/>
        <w:rPr>
          <w:rFonts w:ascii="仿宋" w:eastAsia="仿宋" w:cs="仿宋"/>
          <w:b w:val="0"/>
          <w:i w:val="0"/>
          <w:caps w:val="0"/>
          <w:smallCaps w:val="0"/>
          <w:color w:val="000000"/>
          <w:spacing w:val="0"/>
          <w:w w:val="100"/>
          <w:sz w:val="32"/>
          <w:szCs w:val="32"/>
          <w:lang w:val="en-US" w:eastAsia="zh-CN"/>
        </w:rPr>
      </w:pPr>
      <w:r>
        <w:rPr>
          <w:rFonts w:ascii="黑体" w:eastAsia="黑体" w:cs="仿宋" w:hint="eastAsia"/>
          <w:b w:val="0"/>
          <w:i w:val="0"/>
          <w:caps w:val="0"/>
          <w:smallCaps w:val="0"/>
          <w:color w:val="000000"/>
          <w:spacing w:val="0"/>
          <w:w w:val="100"/>
          <w:sz w:val="32"/>
          <w:szCs w:val="32"/>
          <w:lang w:val="en-US" w:eastAsia="zh-CN"/>
        </w:rPr>
        <w:t>四、</w:t>
      </w:r>
      <w:r>
        <w:rPr>
          <w:rFonts w:ascii="黑体" w:eastAsia="黑体" w:hint="eastAsia"/>
          <w:b w:val="0"/>
          <w:i w:val="0"/>
          <w:caps w:val="0"/>
          <w:smallCaps w:val="0"/>
          <w:color w:val="000000"/>
          <w:spacing w:val="0"/>
          <w:w w:val="100"/>
          <w:sz w:val="32"/>
          <w:szCs w:val="32"/>
        </w:rPr>
        <w:t>国有资本经营预算支出情况</w:t>
      </w:r>
    </w:p>
    <w:p>
      <w:pPr>
        <w:adjustRightInd w:val="0"/>
        <w:snapToGrid w:val="0"/>
        <w:spacing w:line="600" w:lineRule="exact"/>
        <w:ind w:firstLineChars="200" w:firstLine="640"/>
        <w:rPr>
          <w:rFonts w:ascii="仿宋_GB2312" w:eastAsia="仿宋_GB2312" w:cs="仿宋"/>
          <w:b w:val="0"/>
          <w:i w:val="0"/>
          <w:caps w:val="0"/>
          <w:smallCaps w:val="0"/>
          <w:color w:val="000000"/>
          <w:spacing w:val="0"/>
          <w:w w:val="100"/>
          <w:sz w:val="32"/>
          <w:szCs w:val="32"/>
          <w:lang w:val="en-US" w:eastAsia="zh-CN"/>
        </w:rPr>
      </w:pPr>
      <w:r>
        <w:rPr>
          <w:rFonts w:ascii="仿宋_GB2312" w:eastAsia="仿宋_GB2312" w:cs="仿宋" w:hint="eastAsia"/>
          <w:b w:val="0"/>
          <w:i w:val="0"/>
          <w:caps w:val="0"/>
          <w:smallCaps w:val="0"/>
          <w:color w:val="000000"/>
          <w:spacing w:val="0"/>
          <w:w w:val="100"/>
          <w:sz w:val="32"/>
          <w:szCs w:val="32"/>
          <w:lang w:val="en-US" w:eastAsia="zh-CN"/>
        </w:rPr>
        <w:t>本单位无此项预算支出</w:t>
      </w:r>
    </w:p>
    <w:p>
      <w:pPr>
        <w:adjustRightInd w:val="0"/>
        <w:snapToGrid w:val="0"/>
        <w:spacing w:line="600" w:lineRule="exact"/>
        <w:ind w:firstLineChars="200" w:firstLine="640"/>
        <w:rPr>
          <w:rFonts w:ascii="仿宋" w:eastAsia="仿宋" w:cs="仿宋"/>
          <w:b w:val="0"/>
          <w:i w:val="0"/>
          <w:caps w:val="0"/>
          <w:smallCaps w:val="0"/>
          <w:color w:val="000000"/>
          <w:spacing w:val="0"/>
          <w:w w:val="100"/>
          <w:sz w:val="32"/>
          <w:szCs w:val="32"/>
          <w:lang w:val="en-US" w:eastAsia="zh-CN"/>
        </w:rPr>
      </w:pPr>
      <w:r>
        <w:rPr>
          <w:rFonts w:ascii="黑体" w:eastAsia="黑体" w:cs="仿宋" w:hint="eastAsia"/>
          <w:b w:val="0"/>
          <w:i w:val="0"/>
          <w:caps w:val="0"/>
          <w:smallCaps w:val="0"/>
          <w:color w:val="000000"/>
          <w:spacing w:val="0"/>
          <w:w w:val="100"/>
          <w:sz w:val="32"/>
          <w:szCs w:val="32"/>
          <w:lang w:val="en-US" w:eastAsia="zh-CN"/>
        </w:rPr>
        <w:t>五、</w:t>
      </w:r>
      <w:r>
        <w:rPr>
          <w:rFonts w:ascii="黑体" w:eastAsia="黑体" w:hint="eastAsia"/>
          <w:b w:val="0"/>
          <w:i w:val="0"/>
          <w:caps w:val="0"/>
          <w:smallCaps w:val="0"/>
          <w:color w:val="000000"/>
          <w:spacing w:val="0"/>
          <w:w w:val="100"/>
          <w:sz w:val="32"/>
          <w:szCs w:val="32"/>
        </w:rPr>
        <w:t>社会保险基金预算支出情况</w:t>
      </w:r>
    </w:p>
    <w:p>
      <w:pPr>
        <w:adjustRightInd w:val="0"/>
        <w:snapToGrid w:val="0"/>
        <w:spacing w:line="600" w:lineRule="exact"/>
        <w:ind w:firstLineChars="200" w:firstLine="640"/>
        <w:rPr>
          <w:rFonts w:eastAsia="黑体"/>
          <w:b w:val="0"/>
          <w:i w:val="0"/>
          <w:caps w:val="0"/>
          <w:smallCaps w:val="0"/>
          <w:color w:val="000000"/>
          <w:spacing w:val="0"/>
          <w:w w:val="100"/>
          <w:sz w:val="32"/>
          <w:szCs w:val="32"/>
        </w:rPr>
      </w:pPr>
      <w:r>
        <w:rPr>
          <w:rFonts w:ascii="仿宋_GB2312" w:eastAsia="仿宋_GB2312" w:cs="仿宋" w:hint="eastAsia"/>
          <w:b w:val="0"/>
          <w:i w:val="0"/>
          <w:caps w:val="0"/>
          <w:smallCaps w:val="0"/>
          <w:color w:val="000000"/>
          <w:spacing w:val="0"/>
          <w:w w:val="100"/>
          <w:sz w:val="32"/>
          <w:szCs w:val="32"/>
          <w:lang w:val="en-US" w:eastAsia="zh-CN"/>
        </w:rPr>
        <w:t>本单位无此项预算支出</w:t>
      </w:r>
    </w:p>
    <w:p>
      <w:pPr>
        <w:adjustRightInd w:val="0"/>
        <w:snapToGrid w:val="0"/>
        <w:spacing w:line="600" w:lineRule="exact"/>
        <w:ind w:firstLineChars="200" w:firstLine="640"/>
        <w:rPr>
          <w:rFonts w:ascii="Times New Roman" w:eastAsia="楷体_GB2312" w:cs="Times New Roman" w:hAnsi="Times New Roman"/>
          <w:color w:val="000000"/>
          <w:sz w:val="32"/>
          <w:szCs w:val="44"/>
        </w:rPr>
      </w:pPr>
      <w:r>
        <w:rPr>
          <w:rFonts w:eastAsia="黑体"/>
          <w:b w:val="0"/>
          <w:i w:val="0"/>
          <w:caps w:val="0"/>
          <w:smallCaps w:val="0"/>
          <w:color w:val="000000"/>
          <w:spacing w:val="0"/>
          <w:w w:val="100"/>
          <w:sz w:val="32"/>
          <w:szCs w:val="32"/>
        </w:rPr>
        <w:t>六、部门整体支出绩效情况</w:t>
      </w:r>
    </w:p>
    <w:p>
      <w:pPr>
        <w:adjustRightInd w:val="0"/>
        <w:snapToGrid w:val="0"/>
        <w:spacing w:line="600" w:lineRule="exact"/>
        <w:ind w:firstLineChars="200" w:firstLine="640"/>
        <w:rPr>
          <w:rFonts w:ascii="Times New Roman" w:eastAsia="楷体_GB2312" w:cs="Times New Roman" w:hAnsi="Times New Roman"/>
          <w:color w:val="000000"/>
          <w:sz w:val="32"/>
          <w:szCs w:val="44"/>
        </w:rPr>
      </w:pPr>
      <w:r>
        <w:rPr>
          <w:rFonts w:ascii="Times New Roman" w:eastAsia="楷体_GB2312" w:cs="Times New Roman" w:hAnsi="Times New Roman" w:hint="eastAsia"/>
          <w:color w:val="000000"/>
          <w:sz w:val="32"/>
          <w:szCs w:val="44"/>
        </w:rPr>
        <w:t>（一）抓好疫情防控显优势。</w:t>
      </w:r>
      <w:r>
        <w:rPr>
          <w:rFonts w:ascii="仿宋_GB2312" w:eastAsia="仿宋_GB2312" w:cs="仿宋_GB2312" w:hint="eastAsia"/>
          <w:b/>
          <w:bCs/>
          <w:color w:val="000000"/>
          <w:sz w:val="32"/>
          <w:szCs w:val="32"/>
        </w:rPr>
        <w:t>讲好张家界抗疫故事。</w:t>
      </w:r>
      <w:r>
        <w:rPr>
          <w:rFonts w:ascii="仿宋_GB2312" w:eastAsia="仿宋_GB2312" w:cs="仿宋_GB2312" w:hint="eastAsia"/>
          <w:color w:val="000000"/>
          <w:sz w:val="32"/>
          <w:szCs w:val="32"/>
        </w:rPr>
        <w:t>组织</w:t>
      </w:r>
      <w:r>
        <w:rPr>
          <w:rFonts w:ascii="Times New Roman" w:eastAsia="仿宋_GB2312" w:cs="Times New Roman" w:hAnsi="Times New Roman"/>
          <w:color w:val="000000"/>
          <w:sz w:val="32"/>
          <w:szCs w:val="32"/>
        </w:rPr>
        <w:t>张家界市爱乐乐团乌克兰籍艺术家</w:t>
      </w:r>
      <w:r>
        <w:rPr>
          <w:rFonts w:ascii="仿宋_GB2312" w:eastAsia="仿宋_GB2312" w:cs="仿宋_GB2312" w:hint="eastAsia"/>
          <w:color w:val="000000"/>
          <w:sz w:val="32"/>
          <w:szCs w:val="32"/>
        </w:rPr>
        <w:t>创作歌曲《相信</w:t>
      </w:r>
      <w:r>
        <w:rPr>
          <w:rFonts w:eastAsia="仿宋_GB2312"/>
          <w:color w:val="000000"/>
          <w:sz w:val="32"/>
          <w:szCs w:val="32"/>
        </w:rPr>
        <w:t>》MV助</w:t>
      </w:r>
      <w:r>
        <w:rPr>
          <w:rFonts w:ascii="仿宋_GB2312" w:eastAsia="仿宋_GB2312" w:cs="仿宋_GB2312" w:hint="eastAsia"/>
          <w:color w:val="000000"/>
          <w:sz w:val="32"/>
          <w:szCs w:val="32"/>
        </w:rPr>
        <w:t>推张家界抗疫宣传。加强同国外结对</w:t>
      </w:r>
      <w:r>
        <w:rPr>
          <w:rFonts w:ascii="Times New Roman" w:eastAsia="仿宋_GB2312" w:cs="Times New Roman" w:hAnsi="Times New Roman"/>
          <w:color w:val="000000"/>
          <w:sz w:val="32"/>
          <w:szCs w:val="32"/>
        </w:rPr>
        <w:t>友好城市互帮互助，开展防护物资捐赠</w:t>
      </w:r>
      <w:r>
        <w:rPr>
          <w:rFonts w:ascii="Times New Roman" w:eastAsia="仿宋_GB2312" w:cs="Times New Roman" w:hAnsi="Times New Roman" w:hint="eastAsia"/>
          <w:color w:val="000000"/>
          <w:sz w:val="32"/>
          <w:szCs w:val="32"/>
        </w:rPr>
        <w:t>。</w:t>
      </w:r>
      <w:r>
        <w:rPr>
          <w:rFonts w:ascii="Times New Roman" w:eastAsia="仿宋_GB2312" w:cs="Times New Roman" w:hAnsi="Times New Roman"/>
          <w:color w:val="000000"/>
          <w:sz w:val="32"/>
          <w:szCs w:val="32"/>
        </w:rPr>
        <w:t>永定区群众</w:t>
      </w:r>
      <w:r>
        <w:rPr>
          <w:rFonts w:ascii="Times New Roman" w:eastAsia="仿宋_GB2312" w:cs="Times New Roman" w:hAnsi="Times New Roman" w:hint="eastAsia"/>
          <w:color w:val="000000"/>
          <w:sz w:val="32"/>
          <w:szCs w:val="32"/>
        </w:rPr>
        <w:t>以</w:t>
      </w:r>
      <w:r>
        <w:rPr>
          <w:rFonts w:ascii="Times New Roman" w:eastAsia="仿宋_GB2312" w:cs="Times New Roman" w:hAnsi="Times New Roman"/>
          <w:color w:val="000000"/>
          <w:sz w:val="32"/>
          <w:szCs w:val="32"/>
        </w:rPr>
        <w:t>捐3000斤腊肉还赠烹饪方法</w:t>
      </w:r>
      <w:r>
        <w:rPr>
          <w:rFonts w:ascii="Times New Roman" w:eastAsia="仿宋_GB2312" w:cs="Times New Roman" w:hAnsi="Times New Roman" w:hint="eastAsia"/>
          <w:color w:val="000000"/>
          <w:sz w:val="32"/>
          <w:szCs w:val="32"/>
        </w:rPr>
        <w:t>的特殊方式驰援湖北。</w:t>
      </w:r>
      <w:r>
        <w:rPr>
          <w:rFonts w:ascii="Times New Roman" w:eastAsia="仿宋_GB2312" w:cs="Times New Roman" w:hAnsi="Times New Roman" w:hint="eastAsia"/>
          <w:bCs/>
          <w:color w:val="000000"/>
          <w:sz w:val="32"/>
          <w:szCs w:val="32"/>
        </w:rPr>
        <w:t>全市</w:t>
      </w:r>
      <w:r>
        <w:rPr>
          <w:rFonts w:ascii="Times New Roman" w:eastAsia="仿宋_GB2312" w:cs="Times New Roman" w:hAnsi="Times New Roman"/>
          <w:color w:val="000000"/>
          <w:sz w:val="32"/>
          <w:szCs w:val="32"/>
        </w:rPr>
        <w:t>创作疫情防控文艺作品2100多部。</w:t>
      </w:r>
      <w:r>
        <w:rPr>
          <w:rFonts w:ascii="仿宋_GB2312" w:eastAsia="仿宋_GB2312" w:cs="仿宋_GB2312" w:hint="eastAsia"/>
          <w:b/>
          <w:bCs/>
          <w:color w:val="000000"/>
          <w:sz w:val="32"/>
          <w:szCs w:val="32"/>
        </w:rPr>
        <w:t>做好疫情发布引导。</w:t>
      </w:r>
      <w:r>
        <w:rPr>
          <w:rFonts w:ascii="仿宋_GB2312" w:eastAsia="仿宋_GB2312" w:hint="eastAsia"/>
          <w:color w:val="000000"/>
          <w:sz w:val="32"/>
          <w:szCs w:val="32"/>
        </w:rPr>
        <w:t>全市各媒体通过报纸、电视、“两微一端”以及</w:t>
      </w:r>
      <w:r>
        <w:rPr>
          <w:rFonts w:ascii="Times New Roman" w:eastAsia="仿宋_GB2312" w:cs="Times New Roman" w:hAnsi="Times New Roman"/>
          <w:color w:val="000000"/>
          <w:sz w:val="32"/>
          <w:szCs w:val="32"/>
        </w:rPr>
        <w:t>近8000</w:t>
      </w:r>
      <w:r>
        <w:rPr>
          <w:rFonts w:ascii="仿宋_GB2312" w:eastAsia="仿宋_GB2312" w:hint="eastAsia"/>
          <w:color w:val="000000"/>
          <w:sz w:val="32"/>
          <w:szCs w:val="32"/>
        </w:rPr>
        <w:t>个“村村响”广播终端，科普防疫知识，及时播报工作动态，迅速澄清各种谣言，</w:t>
      </w:r>
      <w:r>
        <w:rPr>
          <w:rFonts w:ascii="Times New Roman" w:eastAsia="仿宋_GB2312" w:cs="Times New Roman" w:hAnsi="Times New Roman"/>
          <w:color w:val="000000"/>
          <w:kern w:val="2"/>
          <w:sz w:val="32"/>
          <w:szCs w:val="32"/>
        </w:rPr>
        <w:t>全市共发布疫情防控信息</w:t>
      </w:r>
      <w:r>
        <w:rPr>
          <w:rFonts w:ascii="Times New Roman" w:eastAsia="仿宋_GB2312" w:cs="Times New Roman" w:hAnsi="Times New Roman"/>
          <w:bCs/>
          <w:color w:val="000000"/>
          <w:sz w:val="32"/>
          <w:szCs w:val="32"/>
        </w:rPr>
        <w:t>15224</w:t>
      </w:r>
      <w:r>
        <w:rPr>
          <w:rFonts w:ascii="Times New Roman" w:eastAsia="仿宋_GB2312" w:cs="Times New Roman" w:hAnsi="Times New Roman"/>
          <w:color w:val="000000"/>
          <w:sz w:val="32"/>
          <w:szCs w:val="32"/>
        </w:rPr>
        <w:t>条，新闻报道累计</w:t>
      </w:r>
      <w:r>
        <w:rPr>
          <w:rFonts w:ascii="Times New Roman" w:eastAsia="仿宋_GB2312" w:cs="Times New Roman" w:hAnsi="Times New Roman"/>
          <w:bCs/>
          <w:color w:val="000000"/>
          <w:sz w:val="32"/>
          <w:szCs w:val="32"/>
        </w:rPr>
        <w:t>15490</w:t>
      </w:r>
      <w:r>
        <w:rPr>
          <w:rFonts w:ascii="Times New Roman" w:eastAsia="仿宋_GB2312" w:cs="Times New Roman" w:hAnsi="Times New Roman"/>
          <w:color w:val="000000"/>
          <w:sz w:val="32"/>
          <w:szCs w:val="32"/>
        </w:rPr>
        <w:t>条</w:t>
      </w:r>
      <w:r>
        <w:rPr>
          <w:rFonts w:ascii="Times New Roman" w:eastAsia="仿宋_GB2312" w:cs="Times New Roman" w:hAnsi="Times New Roman" w:hint="eastAsia"/>
          <w:color w:val="000000"/>
          <w:kern w:val="2"/>
          <w:sz w:val="32"/>
          <w:szCs w:val="32"/>
        </w:rPr>
        <w:t>，</w:t>
      </w:r>
      <w:r>
        <w:rPr>
          <w:rFonts w:ascii="仿宋_GB2312" w:eastAsia="仿宋_GB2312" w:hint="eastAsia"/>
          <w:color w:val="000000"/>
          <w:sz w:val="32"/>
          <w:szCs w:val="32"/>
        </w:rPr>
        <w:t>为新冠疫情防控“四个最”做出突出贡献。</w:t>
      </w:r>
      <w:r>
        <w:rPr>
          <w:rFonts w:ascii="Times New Roman" w:eastAsia="仿宋_GB2312" w:cs="Times New Roman" w:hAnsi="Times New Roman" w:hint="eastAsia"/>
          <w:b/>
          <w:bCs/>
          <w:color w:val="000000"/>
          <w:kern w:val="2"/>
          <w:sz w:val="32"/>
          <w:szCs w:val="32"/>
        </w:rPr>
        <w:t>倾力</w:t>
      </w:r>
      <w:r>
        <w:rPr>
          <w:rFonts w:ascii="Times New Roman" w:eastAsia="仿宋_GB2312" w:cs="Times New Roman" w:hAnsi="Times New Roman"/>
          <w:b/>
          <w:bCs/>
          <w:color w:val="000000"/>
          <w:kern w:val="2"/>
          <w:sz w:val="32"/>
          <w:szCs w:val="32"/>
        </w:rPr>
        <w:t>做好</w:t>
      </w:r>
      <w:r>
        <w:rPr>
          <w:rFonts w:ascii="Times New Roman" w:eastAsia="仿宋_GB2312" w:cs="Times New Roman" w:hAnsi="Times New Roman" w:hint="eastAsia"/>
          <w:b/>
          <w:bCs/>
          <w:color w:val="000000"/>
          <w:kern w:val="2"/>
          <w:sz w:val="32"/>
          <w:szCs w:val="32"/>
        </w:rPr>
        <w:t>防疫</w:t>
      </w:r>
      <w:r>
        <w:rPr>
          <w:rFonts w:ascii="仿宋_GB2312" w:eastAsia="仿宋_GB2312" w:cs="仿宋_GB2312" w:hint="eastAsia"/>
          <w:b/>
          <w:bCs/>
          <w:color w:val="000000"/>
          <w:sz w:val="32"/>
          <w:szCs w:val="32"/>
        </w:rPr>
        <w:t>志愿服务。</w:t>
      </w:r>
      <w:r>
        <w:rPr>
          <w:rFonts w:ascii="仿宋_GB2312" w:eastAsia="仿宋_GB2312" w:cs="仿宋_GB2312" w:hint="eastAsia"/>
          <w:color w:val="000000"/>
          <w:sz w:val="32"/>
          <w:szCs w:val="32"/>
        </w:rPr>
        <w:t>全市</w:t>
      </w:r>
      <w:r>
        <w:rPr>
          <w:rFonts w:ascii="Times New Roman" w:eastAsia="仿宋_GB2312" w:cs="Times New Roman" w:hAnsi="Times New Roman"/>
          <w:color w:val="000000"/>
          <w:sz w:val="32"/>
          <w:szCs w:val="32"/>
        </w:rPr>
        <w:t>4.</w:t>
      </w:r>
      <w:r>
        <w:rPr>
          <w:rFonts w:ascii="Times New Roman" w:eastAsia="仿宋_GB2312" w:cs="Times New Roman" w:hAnsi="Times New Roman"/>
          <w:bCs/>
          <w:color w:val="000000"/>
          <w:sz w:val="32"/>
          <w:szCs w:val="32"/>
        </w:rPr>
        <w:t>3万多名志愿者</w:t>
      </w:r>
      <w:r>
        <w:rPr>
          <w:rFonts w:ascii="Times New Roman" w:eastAsia="仿宋_GB2312" w:cs="Times New Roman" w:hAnsi="Times New Roman" w:hint="eastAsia"/>
          <w:bCs/>
          <w:color w:val="000000"/>
          <w:sz w:val="32"/>
          <w:szCs w:val="32"/>
        </w:rPr>
        <w:t>和</w:t>
      </w:r>
      <w:r>
        <w:rPr>
          <w:rFonts w:ascii="Times New Roman" w:eastAsia="仿宋_GB2312" w:cs="Times New Roman" w:hAnsi="Times New Roman"/>
          <w:bCs/>
          <w:color w:val="000000"/>
          <w:sz w:val="32"/>
          <w:szCs w:val="32"/>
        </w:rPr>
        <w:t>近万名机关党员干部</w:t>
      </w:r>
      <w:r>
        <w:rPr>
          <w:rFonts w:ascii="Times New Roman" w:eastAsia="仿宋_GB2312" w:cs="Times New Roman" w:hAnsi="Times New Roman" w:hint="eastAsia"/>
          <w:bCs/>
          <w:color w:val="000000"/>
          <w:sz w:val="32"/>
          <w:szCs w:val="32"/>
        </w:rPr>
        <w:t>，</w:t>
      </w:r>
      <w:r>
        <w:rPr>
          <w:rFonts w:ascii="Times New Roman" w:eastAsia="仿宋_GB2312" w:cs="Times New Roman" w:hAnsi="Times New Roman"/>
          <w:bCs/>
          <w:color w:val="000000"/>
          <w:sz w:val="32"/>
          <w:szCs w:val="32"/>
        </w:rPr>
        <w:t>进社区、守小区、巡村居，</w:t>
      </w:r>
      <w:r>
        <w:rPr>
          <w:rFonts w:ascii="Times New Roman" w:eastAsia="仿宋_GB2312" w:cs="Times New Roman" w:hAnsi="Times New Roman" w:hint="eastAsia"/>
          <w:bCs/>
          <w:color w:val="000000"/>
          <w:sz w:val="32"/>
          <w:szCs w:val="32"/>
        </w:rPr>
        <w:t>主动</w:t>
      </w:r>
      <w:r>
        <w:rPr>
          <w:rFonts w:ascii="Times New Roman" w:eastAsia="仿宋_GB2312" w:cs="Times New Roman" w:hAnsi="Times New Roman"/>
          <w:bCs/>
          <w:color w:val="000000"/>
          <w:sz w:val="32"/>
          <w:szCs w:val="32"/>
        </w:rPr>
        <w:t>担当</w:t>
      </w:r>
      <w:r>
        <w:rPr>
          <w:rFonts w:ascii="仿宋_GB2312" w:eastAsia="仿宋_GB2312" w:cs="Times New Roman" w:hint="eastAsia"/>
          <w:bCs/>
          <w:color w:val="000000"/>
          <w:sz w:val="32"/>
          <w:szCs w:val="32"/>
        </w:rPr>
        <w:t>“疫情宣传员、防控监测员、文明劝导员、采购跑腿员、爱心募集员”。</w:t>
      </w:r>
      <w:r>
        <w:rPr>
          <w:rFonts w:ascii="Times New Roman" w:eastAsia="仿宋_GB2312" w:cs="Times New Roman" w:hAnsi="Times New Roman"/>
          <w:bCs/>
          <w:color w:val="000000"/>
          <w:sz w:val="32"/>
          <w:szCs w:val="32"/>
        </w:rPr>
        <w:t>培训选派驻企防疫志愿者730名，</w:t>
      </w:r>
      <w:r>
        <w:rPr>
          <w:rFonts w:ascii="Times New Roman" w:eastAsia="仿宋_GB2312" w:cs="Times New Roman" w:hAnsi="Times New Roman" w:hint="eastAsia"/>
          <w:bCs/>
          <w:color w:val="000000"/>
          <w:sz w:val="32"/>
          <w:szCs w:val="32"/>
        </w:rPr>
        <w:t>助力</w:t>
      </w:r>
      <w:r>
        <w:rPr>
          <w:rFonts w:ascii="Times New Roman" w:eastAsia="仿宋_GB2312" w:cs="Times New Roman" w:hAnsi="Times New Roman"/>
          <w:bCs/>
          <w:color w:val="000000"/>
          <w:sz w:val="32"/>
          <w:szCs w:val="32"/>
        </w:rPr>
        <w:t>复工复产。</w:t>
      </w:r>
    </w:p>
    <w:p>
      <w:pPr>
        <w:adjustRightInd w:val="0"/>
        <w:snapToGrid w:val="0"/>
        <w:spacing w:line="600" w:lineRule="exact"/>
        <w:ind w:firstLineChars="200" w:firstLine="640"/>
        <w:rPr>
          <w:rFonts w:ascii="仿宋_GB2312" w:eastAsia="仿宋_GB2312" w:cs="仿宋_GB2312"/>
          <w:bCs/>
          <w:color w:val="000000"/>
          <w:sz w:val="32"/>
          <w:szCs w:val="32"/>
        </w:rPr>
      </w:pPr>
      <w:r>
        <w:rPr>
          <w:rFonts w:ascii="Times New Roman" w:eastAsia="楷体_GB2312" w:cs="Times New Roman" w:hAnsi="Times New Roman" w:hint="eastAsia"/>
          <w:color w:val="000000"/>
          <w:sz w:val="32"/>
          <w:szCs w:val="44"/>
        </w:rPr>
        <w:t>（二）抓好理论武装铸灵魂。</w:t>
      </w:r>
      <w:r>
        <w:rPr>
          <w:rFonts w:ascii="仿宋_GB2312" w:eastAsia="仿宋_GB2312" w:cs="仿宋_GB2312" w:hint="eastAsia"/>
          <w:b/>
          <w:bCs/>
          <w:color w:val="000000"/>
          <w:sz w:val="32"/>
          <w:szCs w:val="32"/>
        </w:rPr>
        <w:t>理论学习走深走实。</w:t>
      </w:r>
      <w:r>
        <w:rPr>
          <w:rFonts w:ascii="仿宋_GB2312" w:eastAsia="仿宋_GB2312" w:cs="仿宋_GB2312" w:hint="eastAsia"/>
          <w:color w:val="000000"/>
          <w:sz w:val="32"/>
          <w:szCs w:val="32"/>
        </w:rPr>
        <w:t>创新“每月一次、上下同题”的张家界中心组学习模式，抓实全市中心组学习，市委中心组开展了</w:t>
      </w:r>
      <w:r>
        <w:rPr>
          <w:rFonts w:ascii="Times New Roman" w:eastAsia="仿宋_GB2312" w:cs="Times New Roman" w:hAnsi="Times New Roman" w:hint="eastAsia"/>
          <w:color w:val="000000"/>
          <w:sz w:val="32"/>
          <w:szCs w:val="32"/>
        </w:rPr>
        <w:t>12</w:t>
      </w:r>
      <w:r>
        <w:rPr>
          <w:rFonts w:eastAsia="仿宋_GB2312" w:cs="Times New Roman"/>
          <w:color w:val="000000"/>
          <w:sz w:val="32"/>
          <w:szCs w:val="32"/>
        </w:rPr>
        <w:t>次集中学习</w:t>
      </w:r>
      <w:r>
        <w:rPr>
          <w:rFonts w:ascii="仿宋_GB2312" w:eastAsia="仿宋_GB2312" w:cs="仿宋" w:hint="eastAsia"/>
          <w:color w:val="000000"/>
          <w:sz w:val="32"/>
          <w:szCs w:val="32"/>
        </w:rPr>
        <w:t>。</w:t>
      </w:r>
      <w:r>
        <w:rPr>
          <w:rFonts w:ascii="仿宋_GB2312" w:eastAsia="仿宋_GB2312" w:cs="仿宋_GB2312" w:hint="eastAsia"/>
          <w:bCs/>
          <w:color w:val="000000"/>
          <w:sz w:val="32"/>
          <w:szCs w:val="32"/>
        </w:rPr>
        <w:t>发行《习近平</w:t>
      </w:r>
      <w:r>
        <w:rPr>
          <w:rFonts w:ascii="Times New Roman" w:eastAsia="仿宋_GB2312" w:cs="Times New Roman" w:hAnsi="Times New Roman"/>
          <w:bCs/>
          <w:color w:val="000000"/>
          <w:sz w:val="32"/>
          <w:szCs w:val="32"/>
        </w:rPr>
        <w:t>谈治国理政》第三卷5万余册，</w:t>
      </w:r>
      <w:r>
        <w:rPr>
          <w:rFonts w:ascii="Times New Roman" w:eastAsia="仿宋_GB2312" w:cs="Times New Roman" w:hAnsi="Times New Roman" w:hint="eastAsia"/>
          <w:bCs/>
          <w:color w:val="000000"/>
          <w:sz w:val="32"/>
          <w:szCs w:val="32"/>
        </w:rPr>
        <w:t>超额完成省定任务</w:t>
      </w:r>
      <w:r>
        <w:rPr>
          <w:rFonts w:ascii="仿宋_GB2312" w:eastAsia="仿宋_GB2312" w:cs="仿宋_GB2312" w:hint="eastAsia"/>
          <w:bCs/>
          <w:color w:val="000000"/>
          <w:sz w:val="32"/>
          <w:szCs w:val="32"/>
        </w:rPr>
        <w:t>。</w:t>
      </w:r>
      <w:r>
        <w:rPr>
          <w:rFonts w:ascii="仿宋_GB2312" w:eastAsia="仿宋_GB2312" w:cs="仿宋_GB2312" w:hint="eastAsia"/>
          <w:b/>
          <w:bCs/>
          <w:color w:val="000000"/>
          <w:sz w:val="32"/>
          <w:szCs w:val="32"/>
        </w:rPr>
        <w:t>理论宣讲有声有色。</w:t>
      </w:r>
      <w:r>
        <w:rPr>
          <w:rFonts w:ascii="仿宋_GB2312" w:eastAsia="仿宋_GB2312" w:hint="eastAsia"/>
          <w:color w:val="000000"/>
          <w:sz w:val="32"/>
          <w:szCs w:val="32"/>
        </w:rPr>
        <w:t>开展多种主题专题宣讲活动</w:t>
      </w:r>
      <w:r>
        <w:rPr>
          <w:rFonts w:ascii="Times New Roman" w:eastAsia="仿宋_GB2312" w:cs="Times New Roman" w:hAnsi="Times New Roman" w:hint="eastAsia"/>
          <w:color w:val="000000"/>
          <w:sz w:val="32"/>
          <w:szCs w:val="32"/>
        </w:rPr>
        <w:t>2.1万</w:t>
      </w:r>
      <w:r>
        <w:rPr>
          <w:rFonts w:ascii="仿宋_GB2312" w:eastAsia="仿宋_GB2312" w:hint="eastAsia"/>
          <w:color w:val="000000"/>
          <w:sz w:val="32"/>
          <w:szCs w:val="32"/>
        </w:rPr>
        <w:t>余场，</w:t>
      </w:r>
      <w:r>
        <w:rPr>
          <w:rFonts w:ascii="仿宋_GB2312" w:eastAsia="仿宋_GB2312" w:cs="仿宋_GB2312" w:hint="eastAsia"/>
          <w:color w:val="000000"/>
          <w:sz w:val="32"/>
          <w:szCs w:val="32"/>
        </w:rPr>
        <w:t>利用“屋场会”载体开展主题微宣讲活动，获张宏森部</w:t>
      </w:r>
      <w:r>
        <w:rPr>
          <w:rFonts w:ascii="Times New Roman" w:eastAsia="仿宋_GB2312" w:cs="Times New Roman" w:hAnsi="Times New Roman" w:hint="eastAsia"/>
          <w:color w:val="000000"/>
          <w:sz w:val="32"/>
          <w:szCs w:val="32"/>
        </w:rPr>
        <w:t>长3</w:t>
      </w:r>
      <w:r>
        <w:rPr>
          <w:rFonts w:ascii="仿宋_GB2312" w:eastAsia="仿宋_GB2312" w:cs="仿宋_GB2312" w:hint="eastAsia"/>
          <w:color w:val="000000"/>
          <w:sz w:val="32"/>
          <w:szCs w:val="32"/>
        </w:rPr>
        <w:t>次批示，并把“屋场会”的经验做法全市推广</w:t>
      </w:r>
      <w:r>
        <w:rPr>
          <w:rFonts w:ascii="仿宋_GB2312" w:eastAsia="仿宋_GB2312" w:cs="仿宋_GB2312"/>
          <w:color w:val="000000"/>
          <w:sz w:val="32"/>
          <w:szCs w:val="32"/>
        </w:rPr>
        <w:t>。</w:t>
      </w:r>
      <w:r>
        <w:rPr>
          <w:rFonts w:ascii="Times New Roman" w:eastAsia="仿宋_GB2312" w:cs="Times New Roman" w:hAnsi="Times New Roman" w:hint="eastAsia"/>
          <w:color w:val="000000"/>
          <w:sz w:val="32"/>
          <w:szCs w:val="32"/>
        </w:rPr>
        <w:t>11</w:t>
      </w:r>
      <w:r>
        <w:rPr>
          <w:rFonts w:ascii="仿宋_GB2312" w:eastAsia="仿宋_GB2312" w:cs="仿宋_GB2312" w:hint="eastAsia"/>
          <w:color w:val="000000"/>
          <w:sz w:val="32"/>
          <w:szCs w:val="32"/>
        </w:rPr>
        <w:t>月</w:t>
      </w:r>
      <w:r>
        <w:rPr>
          <w:rFonts w:ascii="Times New Roman" w:eastAsia="仿宋_GB2312" w:cs="Times New Roman" w:hAnsi="Times New Roman" w:hint="eastAsia"/>
          <w:color w:val="000000"/>
          <w:sz w:val="32"/>
          <w:szCs w:val="32"/>
        </w:rPr>
        <w:t>16</w:t>
      </w:r>
      <w:r>
        <w:rPr>
          <w:rFonts w:ascii="仿宋_GB2312" w:eastAsia="仿宋_GB2312" w:cs="仿宋_GB2312" w:hint="eastAsia"/>
          <w:color w:val="000000"/>
          <w:sz w:val="32"/>
          <w:szCs w:val="32"/>
        </w:rPr>
        <w:t>日，张宏森部长到武陵源区</w:t>
      </w:r>
      <w:r>
        <w:rPr>
          <w:rFonts w:ascii="Times New Roman" w:eastAsia="仿宋_GB2312" w:cs="Times New Roman" w:hAnsi="Times New Roman"/>
          <w:color w:val="000000"/>
          <w:sz w:val="32"/>
          <w:szCs w:val="32"/>
        </w:rPr>
        <w:t>黄龙路社区吴家台屋场</w:t>
      </w:r>
      <w:r>
        <w:rPr>
          <w:rFonts w:eastAsia="仿宋_GB2312" w:cs="Times New Roman" w:hint="eastAsia"/>
          <w:color w:val="000000"/>
          <w:sz w:val="32"/>
          <w:szCs w:val="32"/>
        </w:rPr>
        <w:t>会，宣讲党的十九届五中全会精神；市委书记带头，</w:t>
      </w:r>
      <w:r>
        <w:rPr>
          <w:rFonts w:ascii="Times New Roman" w:eastAsia="仿宋_GB2312" w:cs="Times New Roman" w:hAnsi="Times New Roman" w:hint="eastAsia"/>
          <w:color w:val="000000"/>
          <w:sz w:val="32"/>
          <w:szCs w:val="32"/>
        </w:rPr>
        <w:t>4</w:t>
      </w:r>
      <w:r>
        <w:rPr>
          <w:rFonts w:eastAsia="仿宋_GB2312" w:cs="Times New Roman" w:hint="eastAsia"/>
          <w:color w:val="000000"/>
          <w:sz w:val="32"/>
          <w:szCs w:val="32"/>
        </w:rPr>
        <w:t>名市领导分别前往区县宣讲十九届五中全会精神。</w:t>
      </w:r>
      <w:r>
        <w:rPr>
          <w:rFonts w:ascii="仿宋_GB2312" w:eastAsia="仿宋_GB2312" w:hint="eastAsia"/>
          <w:color w:val="000000"/>
          <w:sz w:val="32"/>
          <w:szCs w:val="32"/>
        </w:rPr>
        <w:t>播放“村村响”</w:t>
      </w:r>
      <w:r>
        <w:rPr>
          <w:rFonts w:ascii="Times New Roman" w:eastAsia="仿宋_GB2312" w:cs="Times New Roman" w:hAnsi="Times New Roman" w:hint="eastAsia"/>
          <w:color w:val="000000"/>
          <w:sz w:val="32"/>
          <w:szCs w:val="32"/>
        </w:rPr>
        <w:t>8</w:t>
      </w:r>
      <w:r>
        <w:rPr>
          <w:rFonts w:ascii="仿宋_GB2312" w:eastAsia="仿宋_GB2312" w:hint="eastAsia"/>
          <w:color w:val="000000"/>
          <w:sz w:val="32"/>
          <w:szCs w:val="32"/>
        </w:rPr>
        <w:t>万多小</w:t>
      </w:r>
      <w:r>
        <w:rPr>
          <w:rFonts w:ascii="仿宋_GB2312" w:eastAsia="仿宋_GB2312" w:cs="仿宋_GB2312" w:hint="eastAsia"/>
          <w:color w:val="000000"/>
          <w:sz w:val="32"/>
          <w:szCs w:val="32"/>
        </w:rPr>
        <w:t>时。永定区巡回开展“决胜小康，奋斗有我”宣讲活动，</w:t>
      </w:r>
      <w:r>
        <w:rPr>
          <w:rFonts w:ascii="Times New Roman" w:eastAsia="仿宋_GB2312" w:cs="Times New Roman" w:hAnsi="Times New Roman"/>
          <w:color w:val="000000"/>
          <w:sz w:val="32"/>
          <w:szCs w:val="32"/>
        </w:rPr>
        <w:t>5</w:t>
      </w:r>
      <w:r>
        <w:rPr>
          <w:rFonts w:ascii="Times New Roman" w:eastAsia="仿宋_GB2312" w:cs="Times New Roman" w:hAnsi="Times New Roman" w:hint="eastAsia"/>
          <w:color w:val="000000"/>
          <w:sz w:val="32"/>
          <w:szCs w:val="32"/>
        </w:rPr>
        <w:t>万</w:t>
      </w:r>
      <w:r>
        <w:rPr>
          <w:rFonts w:ascii="Times New Roman" w:eastAsia="仿宋_GB2312" w:cs="Times New Roman" w:hAnsi="Times New Roman"/>
          <w:color w:val="000000"/>
          <w:sz w:val="32"/>
          <w:szCs w:val="32"/>
        </w:rPr>
        <w:t>余</w:t>
      </w:r>
      <w:r>
        <w:rPr>
          <w:rFonts w:ascii="仿宋_GB2312" w:eastAsia="仿宋_GB2312" w:cs="仿宋_GB2312" w:hint="eastAsia"/>
          <w:color w:val="000000"/>
          <w:sz w:val="32"/>
          <w:szCs w:val="32"/>
        </w:rPr>
        <w:t>人次观看。</w:t>
      </w:r>
      <w:r>
        <w:rPr>
          <w:rFonts w:ascii="仿宋_GB2312" w:eastAsia="仿宋_GB2312" w:cs="仿宋_GB2312" w:hint="eastAsia"/>
          <w:b/>
          <w:bCs/>
          <w:color w:val="000000"/>
          <w:sz w:val="32"/>
          <w:szCs w:val="32"/>
        </w:rPr>
        <w:t>“学习强国”出新出彩。</w:t>
      </w:r>
      <w:r>
        <w:rPr>
          <w:rFonts w:eastAsia="仿宋_GB2312" w:cs="Times New Roman" w:hint="eastAsia"/>
          <w:color w:val="000000"/>
          <w:sz w:val="32"/>
          <w:szCs w:val="32"/>
        </w:rPr>
        <w:t>举办“学习强国</w:t>
      </w:r>
      <w:r>
        <w:rPr>
          <w:rFonts w:ascii="仿宋_GB2312" w:eastAsia="仿宋_GB2312" w:cs="仿宋_GB2312" w:hint="eastAsia"/>
          <w:color w:val="000000"/>
          <w:sz w:val="32"/>
          <w:szCs w:val="32"/>
        </w:rPr>
        <w:t>”通讯员培训班，</w:t>
      </w:r>
      <w:r>
        <w:rPr>
          <w:rFonts w:ascii="仿宋_GB2312" w:eastAsia="仿宋_GB2312" w:cs="仿宋_GB2312" w:hint="eastAsia"/>
          <w:bCs/>
          <w:color w:val="000000"/>
          <w:sz w:val="32"/>
          <w:szCs w:val="32"/>
        </w:rPr>
        <w:t>全市上稿</w:t>
      </w:r>
      <w:r>
        <w:rPr>
          <w:rFonts w:eastAsia="仿宋_GB2312"/>
          <w:bCs/>
          <w:color w:val="000000"/>
          <w:sz w:val="32"/>
          <w:szCs w:val="32"/>
        </w:rPr>
        <w:t>803</w:t>
      </w:r>
      <w:r>
        <w:rPr>
          <w:rFonts w:ascii="仿宋_GB2312" w:eastAsia="仿宋_GB2312" w:cs="仿宋_GB2312" w:hint="eastAsia"/>
          <w:bCs/>
          <w:color w:val="000000"/>
          <w:sz w:val="32"/>
          <w:szCs w:val="32"/>
        </w:rPr>
        <w:t>篇。全国首个“‘学习强国’学习课堂”在桑植县细砂坪学校挂牌。武陵源区利用“班班通”教学系统，将“学习强国”学习平台的教学资源纳入教学内容。举办“大美看中国聚焦张家界”全国摄影比赛。组织开展“爱国心·报国情·强国志”征文活动。</w:t>
      </w:r>
    </w:p>
    <w:p>
      <w:pPr>
        <w:adjustRightInd w:val="0"/>
        <w:snapToGrid w:val="0"/>
        <w:spacing w:line="600" w:lineRule="exact"/>
        <w:ind w:firstLineChars="200" w:firstLine="640"/>
        <w:rPr>
          <w:rFonts w:ascii="Times New Roman" w:eastAsia="楷体_GB2312" w:cs="Times New Roman" w:hAnsi="Times New Roman"/>
          <w:color w:val="000000"/>
          <w:sz w:val="32"/>
          <w:szCs w:val="44"/>
        </w:rPr>
      </w:pPr>
      <w:r>
        <w:rPr>
          <w:rFonts w:ascii="楷体_GB2312" w:eastAsia="楷体_GB2312" w:cs="仿宋_GB2312" w:hint="eastAsia"/>
          <w:bCs/>
          <w:color w:val="000000"/>
          <w:sz w:val="32"/>
          <w:szCs w:val="32"/>
        </w:rPr>
        <w:t>（三）</w:t>
      </w:r>
      <w:r>
        <w:rPr>
          <w:rFonts w:ascii="楷体_GB2312" w:eastAsia="楷体_GB2312" w:cs="Times New Roman" w:hint="eastAsia"/>
          <w:color w:val="000000"/>
          <w:sz w:val="32"/>
          <w:szCs w:val="44"/>
        </w:rPr>
        <w:t>抓好新闻舆论明导向。</w:t>
      </w:r>
      <w:r>
        <w:rPr>
          <w:rFonts w:ascii="Times New Roman" w:eastAsia="仿宋_GB2312" w:cs="Times New Roman" w:hAnsi="Times New Roman" w:hint="eastAsia"/>
          <w:b/>
          <w:bCs/>
          <w:color w:val="000000"/>
          <w:sz w:val="32"/>
          <w:szCs w:val="32"/>
        </w:rPr>
        <w:t>做好</w:t>
      </w:r>
      <w:r>
        <w:rPr>
          <w:rFonts w:ascii="Times New Roman" w:eastAsia="仿宋_GB2312" w:cs="Times New Roman" w:hAnsi="Times New Roman"/>
          <w:b/>
          <w:color w:val="000000"/>
          <w:sz w:val="32"/>
          <w:szCs w:val="32"/>
        </w:rPr>
        <w:t>主题报道</w:t>
      </w:r>
      <w:r>
        <w:rPr>
          <w:rFonts w:ascii="Times New Roman" w:eastAsia="仿宋_GB2312" w:cs="Times New Roman" w:hAnsi="Times New Roman"/>
          <w:bCs/>
          <w:color w:val="000000"/>
          <w:sz w:val="32"/>
          <w:szCs w:val="32"/>
        </w:rPr>
        <w:t>。</w:t>
      </w:r>
      <w:r>
        <w:rPr>
          <w:rFonts w:ascii="仿宋_GB2312" w:eastAsia="仿宋_GB2312" w:hint="eastAsia"/>
          <w:color w:val="000000"/>
          <w:sz w:val="32"/>
          <w:szCs w:val="32"/>
        </w:rPr>
        <w:t>建立重大宣传“中央厨房”机制，统筹重大宣传报道，央媒省媒上</w:t>
      </w:r>
      <w:r>
        <w:rPr>
          <w:rFonts w:ascii="Times New Roman" w:eastAsia="仿宋_GB2312" w:cs="Times New Roman" w:hAnsi="Times New Roman"/>
          <w:color w:val="000000"/>
          <w:sz w:val="32"/>
          <w:szCs w:val="32"/>
        </w:rPr>
        <w:t>稿近9000</w:t>
      </w:r>
      <w:r>
        <w:rPr>
          <w:rFonts w:ascii="仿宋_GB2312" w:eastAsia="仿宋_GB2312" w:hint="eastAsia"/>
          <w:color w:val="000000"/>
          <w:sz w:val="32"/>
          <w:szCs w:val="32"/>
        </w:rPr>
        <w:t>件。</w:t>
      </w:r>
      <w:r>
        <w:rPr>
          <w:rFonts w:ascii="Times New Roman" w:eastAsia="仿宋_GB2312" w:cs="Times New Roman" w:hAnsi="Times New Roman"/>
          <w:color w:val="000000"/>
          <w:sz w:val="32"/>
          <w:szCs w:val="32"/>
        </w:rPr>
        <w:t>设立专题专栏近50个，营造</w:t>
      </w:r>
      <w:r>
        <w:rPr>
          <w:rFonts w:ascii="Times New Roman" w:eastAsia="仿宋_GB2312" w:cs="Times New Roman" w:hAnsi="Times New Roman" w:hint="eastAsia"/>
          <w:color w:val="000000"/>
          <w:sz w:val="32"/>
          <w:szCs w:val="32"/>
        </w:rPr>
        <w:t>全市高质量发展</w:t>
      </w:r>
      <w:r>
        <w:rPr>
          <w:rFonts w:ascii="Times New Roman" w:eastAsia="仿宋_GB2312" w:cs="Times New Roman" w:hAnsi="Times New Roman"/>
          <w:color w:val="000000"/>
          <w:sz w:val="32"/>
          <w:szCs w:val="32"/>
        </w:rPr>
        <w:t>浓厚氛围。张家界市广播电视台一季度央视上稿位居全国地市级媒体前</w:t>
      </w:r>
      <w:r>
        <w:rPr>
          <w:rFonts w:ascii="Times New Roman" w:eastAsia="仿宋_GB2312" w:cs="Times New Roman" w:hAnsi="Times New Roman" w:hint="eastAsia"/>
          <w:color w:val="000000"/>
          <w:sz w:val="32"/>
          <w:szCs w:val="32"/>
        </w:rPr>
        <w:t>5名，得到中央广播电视台致信肯定感谢。</w:t>
      </w:r>
      <w:r>
        <w:rPr>
          <w:rFonts w:ascii="Times New Roman" w:eastAsia="仿宋_GB2312" w:cs="Times New Roman" w:hAnsi="Times New Roman" w:hint="eastAsia"/>
          <w:b/>
          <w:bCs/>
          <w:color w:val="000000"/>
          <w:sz w:val="32"/>
          <w:szCs w:val="32"/>
        </w:rPr>
        <w:t>做强对外宣传。</w:t>
      </w:r>
      <w:r>
        <w:rPr>
          <w:rFonts w:ascii="Times New Roman" w:eastAsia="仿宋_GB2312" w:cs="Times New Roman" w:hAnsi="Times New Roman"/>
          <w:color w:val="000000"/>
          <w:sz w:val="32"/>
          <w:szCs w:val="32"/>
        </w:rPr>
        <w:t>CCTV4</w:t>
      </w:r>
      <w:r>
        <w:rPr>
          <w:rFonts w:ascii="仿宋_GB2312" w:eastAsia="仿宋_GB2312" w:cs="仿宋_GB2312" w:hint="eastAsia"/>
          <w:color w:val="000000"/>
          <w:sz w:val="32"/>
          <w:szCs w:val="32"/>
        </w:rPr>
        <w:t>《美食中国》栏目《品味张家</w:t>
      </w:r>
      <w:r>
        <w:rPr>
          <w:rFonts w:ascii="Times New Roman" w:eastAsia="仿宋_GB2312" w:cs="Times New Roman" w:hAnsi="Times New Roman"/>
          <w:color w:val="000000"/>
          <w:sz w:val="32"/>
          <w:szCs w:val="32"/>
        </w:rPr>
        <w:t>界》于1月播出</w:t>
      </w:r>
      <w:r>
        <w:rPr>
          <w:rFonts w:ascii="仿宋_GB2312" w:eastAsia="仿宋_GB2312" w:cs="仿宋_GB2312" w:hint="eastAsia"/>
          <w:color w:val="000000"/>
          <w:sz w:val="32"/>
          <w:szCs w:val="32"/>
        </w:rPr>
        <w:t>。《中国缘》张家界篇《结缘张家界</w:t>
      </w:r>
      <w:r>
        <w:rPr>
          <w:rFonts w:ascii="Times New Roman" w:eastAsia="仿宋_GB2312" w:cs="Times New Roman" w:hAnsi="Times New Roman"/>
          <w:color w:val="000000"/>
          <w:sz w:val="32"/>
          <w:szCs w:val="32"/>
        </w:rPr>
        <w:t>》于11月1日推出</w:t>
      </w:r>
      <w:r>
        <w:rPr>
          <w:rFonts w:ascii="仿宋_GB2312" w:eastAsia="仿宋_GB2312" w:cs="仿宋_GB2312" w:hint="eastAsia"/>
          <w:color w:val="000000"/>
          <w:sz w:val="32"/>
          <w:szCs w:val="32"/>
        </w:rPr>
        <w:t>。《航拍中国》将张家界地貌风光震撼呈现。《中奥会客厅》向全球展示我市民宿旅游、慢旅游的最新成果。短视频《云上中国·张家界》亮相纽约时报广场“中国屏”。张家界爱乐乐团乌克兰籍艺术家们开展“中外游客同唱红歌</w:t>
      </w:r>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为新中国祝福”活动</w:t>
      </w:r>
      <w:r>
        <w:rPr>
          <w:rFonts w:ascii="仿宋_GB2312" w:eastAsia="仿宋_GB2312" w:cs="仿宋_GB2312" w:hint="eastAsia"/>
          <w:color w:val="000000"/>
          <w:sz w:val="32"/>
          <w:szCs w:val="32"/>
          <w:lang w:eastAsia="zh-CN"/>
        </w:rPr>
        <w:t>。</w:t>
      </w:r>
      <w:r>
        <w:rPr>
          <w:rFonts w:ascii="仿宋_GB2312" w:eastAsia="仿宋_GB2312" w:hint="eastAsia"/>
          <w:b/>
          <w:bCs/>
          <w:color w:val="000000"/>
          <w:sz w:val="32"/>
          <w:szCs w:val="32"/>
        </w:rPr>
        <w:t>做热融媒传播。</w:t>
      </w:r>
      <w:r>
        <w:rPr>
          <w:rFonts w:ascii="仿宋_GB2312" w:eastAsia="仿宋_GB2312" w:hint="eastAsia"/>
          <w:color w:val="000000"/>
          <w:sz w:val="32"/>
          <w:szCs w:val="32"/>
        </w:rPr>
        <w:t>永定区、慈利县、武陵源区融媒体中心已验收投入使用。搭建掌上永定、新武陵源、智慧慈利、新桑植等新型主流媒体平台，生产出一系列爆款产品，如永定区融媒体中心推出的“泡面哥”，视频累积播放量</w:t>
      </w:r>
      <w:r>
        <w:rPr>
          <w:rFonts w:ascii="Times New Roman" w:eastAsia="仿宋_GB2312" w:cs="Times New Roman" w:hAnsi="Times New Roman"/>
          <w:color w:val="000000"/>
          <w:sz w:val="32"/>
          <w:szCs w:val="32"/>
        </w:rPr>
        <w:t>达1.</w:t>
      </w:r>
      <w:r>
        <w:rPr>
          <w:rFonts w:ascii="Times New Roman" w:eastAsia="仿宋_GB2312" w:cs="Times New Roman" w:hAnsi="Times New Roman" w:hint="eastAsia"/>
          <w:color w:val="000000"/>
          <w:sz w:val="32"/>
          <w:szCs w:val="32"/>
        </w:rPr>
        <w:t>5</w:t>
      </w:r>
      <w:r>
        <w:rPr>
          <w:rFonts w:ascii="Times New Roman" w:eastAsia="仿宋_GB2312" w:cs="Times New Roman" w:hAnsi="Times New Roman"/>
          <w:color w:val="000000"/>
          <w:sz w:val="32"/>
          <w:szCs w:val="32"/>
        </w:rPr>
        <w:t>亿</w:t>
      </w:r>
      <w:r>
        <w:rPr>
          <w:rFonts w:ascii="仿宋_GB2312" w:eastAsia="仿宋_GB2312" w:hint="eastAsia"/>
          <w:color w:val="000000"/>
          <w:sz w:val="32"/>
          <w:szCs w:val="32"/>
        </w:rPr>
        <w:t>次。</w:t>
      </w:r>
    </w:p>
    <w:p>
      <w:pPr>
        <w:adjustRightInd w:val="0"/>
        <w:snapToGrid w:val="0"/>
        <w:spacing w:line="600" w:lineRule="exact"/>
        <w:ind w:firstLineChars="200" w:firstLine="640"/>
        <w:rPr>
          <w:rFonts w:ascii="Times New Roman" w:eastAsia="楷体_GB2312" w:cs="Times New Roman" w:hAnsi="Times New Roman"/>
          <w:color w:val="000000"/>
          <w:sz w:val="32"/>
          <w:szCs w:val="44"/>
        </w:rPr>
      </w:pPr>
      <w:r>
        <w:rPr>
          <w:rFonts w:ascii="Times New Roman" w:eastAsia="楷体_GB2312" w:cs="Times New Roman" w:hAnsi="Times New Roman" w:hint="eastAsia"/>
          <w:color w:val="000000"/>
          <w:sz w:val="32"/>
          <w:szCs w:val="44"/>
        </w:rPr>
        <w:t>（四）抓好意识形态稳阵地。</w:t>
      </w:r>
      <w:r>
        <w:rPr>
          <w:rFonts w:ascii="Times New Roman" w:eastAsia="仿宋_GB2312" w:cs="Times New Roman" w:hAnsi="Times New Roman" w:hint="eastAsia"/>
          <w:b/>
          <w:bCs/>
          <w:color w:val="000000"/>
          <w:sz w:val="32"/>
          <w:szCs w:val="44"/>
        </w:rPr>
        <w:t>落实工作责任</w:t>
      </w:r>
      <w:r>
        <w:rPr>
          <w:rFonts w:ascii="Times New Roman" w:eastAsia="仿宋_GB2312" w:cs="Times New Roman" w:hAnsi="Times New Roman"/>
          <w:b/>
          <w:bCs/>
          <w:color w:val="000000"/>
          <w:sz w:val="32"/>
          <w:szCs w:val="44"/>
        </w:rPr>
        <w:t>。</w:t>
      </w:r>
      <w:r>
        <w:rPr>
          <w:rFonts w:ascii="Times New Roman" w:eastAsia="仿宋_GB2312" w:cs="Times New Roman" w:hAnsi="Times New Roman"/>
          <w:bCs/>
          <w:color w:val="000000"/>
          <w:sz w:val="32"/>
          <w:szCs w:val="44"/>
        </w:rPr>
        <w:t>省委</w:t>
      </w:r>
      <w:r>
        <w:rPr>
          <w:rFonts w:ascii="Times New Roman" w:eastAsia="仿宋_GB2312" w:cs="Times New Roman" w:hAnsi="Times New Roman"/>
          <w:color w:val="000000"/>
          <w:sz w:val="32"/>
          <w:szCs w:val="32"/>
        </w:rPr>
        <w:t>主要领导</w:t>
      </w:r>
      <w:r>
        <w:rPr>
          <w:rFonts w:ascii="Times New Roman" w:eastAsia="仿宋_GB2312" w:cs="Times New Roman" w:hAnsi="Times New Roman" w:hint="eastAsia"/>
          <w:color w:val="000000"/>
          <w:sz w:val="32"/>
          <w:szCs w:val="32"/>
        </w:rPr>
        <w:t>年初</w:t>
      </w:r>
      <w:r>
        <w:rPr>
          <w:rFonts w:ascii="Times New Roman" w:eastAsia="仿宋_GB2312" w:cs="Times New Roman" w:hAnsi="Times New Roman"/>
          <w:color w:val="000000"/>
          <w:sz w:val="32"/>
          <w:szCs w:val="32"/>
        </w:rPr>
        <w:t>点评张家界意识形态领域存在问题</w:t>
      </w:r>
      <w:r>
        <w:rPr>
          <w:rFonts w:ascii="Times New Roman" w:eastAsia="仿宋_GB2312" w:cs="Times New Roman" w:hAnsi="Times New Roman" w:hint="eastAsia"/>
          <w:color w:val="000000"/>
          <w:sz w:val="32"/>
          <w:szCs w:val="32"/>
        </w:rPr>
        <w:t>，已经</w:t>
      </w:r>
      <w:r>
        <w:rPr>
          <w:rFonts w:ascii="Times New Roman" w:eastAsia="仿宋_GB2312" w:cs="Times New Roman" w:hAnsi="Times New Roman"/>
          <w:color w:val="000000"/>
          <w:sz w:val="32"/>
          <w:szCs w:val="32"/>
        </w:rPr>
        <w:t>完成整改。印发《张家界市2020年意识形态工作思路》，组织意识形态工作责任制述职评议。</w:t>
      </w:r>
      <w:r>
        <w:rPr>
          <w:rFonts w:ascii="Times New Roman" w:eastAsia="仿宋_GB2312" w:cs="Times New Roman" w:hAnsi="Times New Roman" w:hint="eastAsia"/>
          <w:color w:val="000000"/>
          <w:sz w:val="32"/>
          <w:szCs w:val="32"/>
        </w:rPr>
        <w:t>按照</w:t>
      </w:r>
      <w:r>
        <w:rPr>
          <w:rFonts w:ascii="Times New Roman" w:eastAsia="仿宋_GB2312" w:cs="Times New Roman" w:hAnsi="Times New Roman"/>
          <w:color w:val="000000"/>
          <w:sz w:val="32"/>
          <w:szCs w:val="32"/>
        </w:rPr>
        <w:t>市委巡察要求同步对市直</w:t>
      </w:r>
      <w:r>
        <w:rPr>
          <w:rFonts w:ascii="Times New Roman" w:eastAsia="仿宋_GB2312" w:cs="Times New Roman" w:hAnsi="Times New Roman" w:hint="eastAsia"/>
          <w:color w:val="000000"/>
          <w:sz w:val="32"/>
          <w:szCs w:val="32"/>
        </w:rPr>
        <w:t>28</w:t>
      </w:r>
      <w:r>
        <w:rPr>
          <w:rFonts w:ascii="Times New Roman" w:eastAsia="仿宋_GB2312" w:cs="Times New Roman" w:hAnsi="Times New Roman"/>
          <w:color w:val="000000"/>
          <w:sz w:val="32"/>
          <w:szCs w:val="32"/>
        </w:rPr>
        <w:t>个单位开展</w:t>
      </w:r>
      <w:r>
        <w:rPr>
          <w:rFonts w:ascii="Times New Roman" w:eastAsia="仿宋_GB2312" w:cs="Times New Roman" w:hAnsi="Times New Roman" w:hint="eastAsia"/>
          <w:color w:val="000000"/>
          <w:sz w:val="32"/>
          <w:szCs w:val="32"/>
        </w:rPr>
        <w:t>了三</w:t>
      </w:r>
      <w:r>
        <w:rPr>
          <w:rFonts w:ascii="Times New Roman" w:eastAsia="仿宋_GB2312" w:cs="Times New Roman" w:hAnsi="Times New Roman"/>
          <w:color w:val="000000"/>
          <w:sz w:val="32"/>
          <w:szCs w:val="32"/>
        </w:rPr>
        <w:t>轮专项检查。</w:t>
      </w:r>
      <w:r>
        <w:rPr>
          <w:rFonts w:ascii="Times New Roman" w:eastAsia="仿宋_GB2312" w:cs="Times New Roman" w:hAnsi="Times New Roman" w:hint="eastAsia"/>
          <w:b/>
          <w:bCs/>
          <w:color w:val="000000"/>
          <w:sz w:val="32"/>
          <w:szCs w:val="44"/>
        </w:rPr>
        <w:t>巩固阵地建设</w:t>
      </w:r>
      <w:r>
        <w:rPr>
          <w:rFonts w:ascii="Times New Roman" w:eastAsia="仿宋_GB2312" w:cs="Times New Roman" w:hAnsi="Times New Roman"/>
          <w:b/>
          <w:bCs/>
          <w:color w:val="000000"/>
          <w:sz w:val="32"/>
          <w:szCs w:val="44"/>
        </w:rPr>
        <w:t>。</w:t>
      </w:r>
      <w:r>
        <w:rPr>
          <w:rFonts w:ascii="Times New Roman" w:eastAsia="仿宋_GB2312" w:cs="Times New Roman" w:hAnsi="Times New Roman"/>
          <w:color w:val="000000"/>
          <w:sz w:val="32"/>
          <w:szCs w:val="32"/>
        </w:rPr>
        <w:t>市委中心组带头学习省委宣传部</w:t>
      </w:r>
      <w:r>
        <w:rPr>
          <w:rFonts w:ascii="仿宋_GB2312" w:eastAsia="仿宋_GB2312" w:cs="Times New Roman" w:hint="eastAsia"/>
          <w:color w:val="000000"/>
          <w:sz w:val="32"/>
          <w:szCs w:val="32"/>
        </w:rPr>
        <w:t>“八个严禁”要求</w:t>
      </w:r>
      <w:r>
        <w:rPr>
          <w:rFonts w:ascii="Times New Roman" w:eastAsia="仿宋_GB2312" w:cs="Times New Roman" w:hAnsi="Times New Roman"/>
          <w:color w:val="000000"/>
          <w:sz w:val="32"/>
          <w:szCs w:val="32"/>
        </w:rPr>
        <w:t>。</w:t>
      </w:r>
      <w:r>
        <w:rPr>
          <w:rFonts w:ascii="Times New Roman" w:eastAsia="仿宋_GB2312" w:cs="Times New Roman" w:hAnsi="Times New Roman" w:hint="eastAsia"/>
          <w:color w:val="000000"/>
          <w:sz w:val="32"/>
          <w:szCs w:val="32"/>
        </w:rPr>
        <w:t>开展12场次天门讲坛系列读书活动。</w:t>
      </w:r>
      <w:r>
        <w:rPr>
          <w:rFonts w:ascii="Times New Roman" w:eastAsia="仿宋_GB2312" w:cs="Times New Roman" w:hAnsi="Times New Roman"/>
          <w:color w:val="000000"/>
          <w:sz w:val="32"/>
          <w:szCs w:val="32"/>
        </w:rPr>
        <w:t>开</w:t>
      </w:r>
      <w:r>
        <w:rPr>
          <w:rFonts w:ascii="仿宋_GB2312" w:eastAsia="仿宋_GB2312" w:cs="Times New Roman" w:hint="eastAsia"/>
          <w:color w:val="000000"/>
          <w:sz w:val="32"/>
          <w:szCs w:val="32"/>
        </w:rPr>
        <w:t>展“绿书签”主题</w:t>
      </w:r>
      <w:r>
        <w:rPr>
          <w:rFonts w:ascii="Times New Roman" w:eastAsia="仿宋_GB2312" w:cs="Times New Roman" w:hAnsi="Times New Roman"/>
          <w:color w:val="000000"/>
          <w:sz w:val="32"/>
          <w:szCs w:val="32"/>
        </w:rPr>
        <w:t>活动100余场次，永定区崇实小学李恩希同学</w:t>
      </w:r>
      <w:r>
        <w:rPr>
          <w:rFonts w:ascii="Times New Roman" w:eastAsia="仿宋_GB2312" w:cs="Times New Roman" w:hAnsi="Times New Roman" w:hint="eastAsia"/>
          <w:color w:val="000000"/>
          <w:sz w:val="32"/>
          <w:szCs w:val="32"/>
        </w:rPr>
        <w:t>在</w:t>
      </w:r>
      <w:r>
        <w:rPr>
          <w:rFonts w:ascii="Times New Roman" w:eastAsia="仿宋_GB2312" w:cs="Times New Roman" w:hAnsi="Times New Roman"/>
          <w:color w:val="000000"/>
          <w:sz w:val="32"/>
          <w:szCs w:val="32"/>
        </w:rPr>
        <w:t>全</w:t>
      </w:r>
      <w:r>
        <w:rPr>
          <w:rFonts w:ascii="仿宋_GB2312" w:eastAsia="仿宋_GB2312" w:cs="Times New Roman" w:hint="eastAsia"/>
          <w:color w:val="000000"/>
          <w:sz w:val="32"/>
          <w:szCs w:val="32"/>
        </w:rPr>
        <w:t>省“寻找绿色阅读小达人”答题</w:t>
      </w:r>
      <w:r>
        <w:rPr>
          <w:rFonts w:ascii="Times New Roman" w:eastAsia="仿宋_GB2312" w:cs="Times New Roman" w:hAnsi="Times New Roman"/>
          <w:color w:val="000000"/>
          <w:sz w:val="32"/>
          <w:szCs w:val="32"/>
        </w:rPr>
        <w:t>活动</w:t>
      </w:r>
      <w:r>
        <w:rPr>
          <w:rFonts w:ascii="Times New Roman" w:eastAsia="仿宋_GB2312" w:cs="Times New Roman" w:hAnsi="Times New Roman" w:hint="eastAsia"/>
          <w:color w:val="000000"/>
          <w:sz w:val="32"/>
          <w:szCs w:val="32"/>
        </w:rPr>
        <w:t>中</w:t>
      </w:r>
      <w:r>
        <w:rPr>
          <w:rFonts w:ascii="Times New Roman" w:eastAsia="仿宋_GB2312" w:cs="Times New Roman" w:hAnsi="Times New Roman"/>
          <w:color w:val="000000"/>
          <w:sz w:val="32"/>
          <w:szCs w:val="32"/>
        </w:rPr>
        <w:t>获全省特等奖。</w:t>
      </w:r>
      <w:r>
        <w:rPr>
          <w:rFonts w:ascii="仿宋_GB2312" w:eastAsia="仿宋_GB2312" w:cs="Times New Roman" w:hint="eastAsia"/>
          <w:b/>
          <w:bCs/>
          <w:color w:val="000000"/>
          <w:sz w:val="32"/>
          <w:szCs w:val="32"/>
        </w:rPr>
        <w:t>严格</w:t>
      </w:r>
      <w:r>
        <w:rPr>
          <w:rFonts w:ascii="仿宋_GB2312" w:eastAsia="仿宋_GB2312" w:cs="Times New Roman" w:hint="eastAsia"/>
          <w:b/>
          <w:color w:val="000000"/>
          <w:sz w:val="32"/>
          <w:szCs w:val="32"/>
        </w:rPr>
        <w:t>“扫黄打非”</w:t>
      </w:r>
      <w:r>
        <w:rPr>
          <w:rFonts w:ascii="仿宋_GB2312" w:eastAsia="仿宋_GB2312" w:cs="Times New Roman" w:hint="eastAsia"/>
          <w:color w:val="000000"/>
          <w:sz w:val="32"/>
          <w:szCs w:val="32"/>
        </w:rPr>
        <w:t>。</w:t>
      </w:r>
      <w:r>
        <w:rPr>
          <w:rFonts w:ascii="Times New Roman" w:eastAsia="仿宋_GB2312" w:cs="Times New Roman" w:hAnsi="Times New Roman"/>
          <w:color w:val="000000"/>
          <w:sz w:val="32"/>
          <w:szCs w:val="32"/>
        </w:rPr>
        <w:t>制定《2020年推进使用正版软件工作计划》，联</w:t>
      </w:r>
      <w:r>
        <w:rPr>
          <w:rFonts w:ascii="仿宋_GB2312" w:eastAsia="仿宋_GB2312" w:cs="Times New Roman" w:hint="eastAsia"/>
          <w:color w:val="000000"/>
          <w:sz w:val="32"/>
          <w:szCs w:val="32"/>
        </w:rPr>
        <w:t>展“打击侵权盗版、保护知识产权”活动。组织“清源”“秋风”“净网”“固边”等专项整治行动。严厉打击</w:t>
      </w:r>
      <w:r>
        <w:rPr>
          <w:rFonts w:ascii="Times New Roman" w:eastAsia="仿宋_GB2312" w:cs="Times New Roman" w:hAnsi="Times New Roman"/>
          <w:color w:val="000000"/>
          <w:sz w:val="32"/>
          <w:szCs w:val="32"/>
        </w:rPr>
        <w:t>各类非法出版</w:t>
      </w:r>
      <w:r>
        <w:rPr>
          <w:rFonts w:ascii="Times New Roman" w:eastAsia="仿宋_GB2312" w:cs="Times New Roman" w:hAnsi="Times New Roman" w:hint="eastAsia"/>
          <w:color w:val="000000"/>
          <w:sz w:val="32"/>
          <w:szCs w:val="32"/>
        </w:rPr>
        <w:t>行为，</w:t>
      </w:r>
      <w:r>
        <w:rPr>
          <w:rFonts w:ascii="Times New Roman" w:eastAsia="仿宋_GB2312" w:cs="Times New Roman" w:hAnsi="Times New Roman"/>
          <w:color w:val="000000"/>
          <w:sz w:val="32"/>
          <w:szCs w:val="32"/>
        </w:rPr>
        <w:t>取缔关闭非法网站44个</w:t>
      </w:r>
      <w:r>
        <w:rPr>
          <w:rFonts w:ascii="Times New Roman" w:eastAsia="仿宋_GB2312" w:cs="Times New Roman" w:hAnsi="Times New Roman" w:hint="eastAsia"/>
          <w:color w:val="000000"/>
          <w:sz w:val="32"/>
          <w:szCs w:val="32"/>
        </w:rPr>
        <w:t>。</w:t>
      </w:r>
    </w:p>
    <w:p>
      <w:pPr>
        <w:adjustRightInd w:val="0"/>
        <w:snapToGrid w:val="0"/>
        <w:spacing w:line="600" w:lineRule="exact"/>
        <w:ind w:firstLineChars="200" w:firstLine="640"/>
        <w:rPr>
          <w:rFonts w:ascii="Times New Roman" w:eastAsia="楷体_GB2312" w:cs="Times New Roman" w:hAnsi="Times New Roman"/>
          <w:color w:val="000000"/>
          <w:sz w:val="32"/>
          <w:szCs w:val="44"/>
        </w:rPr>
      </w:pPr>
      <w:r>
        <w:rPr>
          <w:rFonts w:ascii="Times New Roman" w:eastAsia="楷体_GB2312" w:cs="Times New Roman" w:hAnsi="Times New Roman" w:hint="eastAsia"/>
          <w:color w:val="000000"/>
          <w:sz w:val="32"/>
          <w:szCs w:val="44"/>
        </w:rPr>
        <w:t>（五）抓好文明创建展形象。</w:t>
      </w:r>
      <w:r>
        <w:rPr>
          <w:rFonts w:ascii="仿宋_GB2312" w:eastAsia="仿宋_GB2312" w:cs="仿宋_GB2312" w:hint="eastAsia"/>
          <w:b/>
          <w:bCs/>
          <w:color w:val="000000"/>
          <w:sz w:val="32"/>
          <w:szCs w:val="44"/>
        </w:rPr>
        <w:t>文明实践树新风。</w:t>
      </w:r>
      <w:r>
        <w:rPr>
          <w:rFonts w:ascii="Times New Roman" w:eastAsia="仿宋_GB2312" w:hAnsi="Times New Roman" w:hint="eastAsia"/>
          <w:color w:val="000000"/>
          <w:sz w:val="32"/>
          <w:szCs w:val="32"/>
        </w:rPr>
        <w:t>开展“学《条例》、量距离、促文明”主题活动。</w:t>
      </w:r>
      <w:r>
        <w:rPr>
          <w:rFonts w:eastAsia="仿宋_GB2312" w:hint="eastAsia"/>
          <w:color w:val="000000"/>
          <w:sz w:val="32"/>
          <w:szCs w:val="32"/>
        </w:rPr>
        <w:t>开展“扣好人生第一粒扣子”系列主题教育实践活动，并在中国文明网专题报道。</w:t>
      </w:r>
      <w:r>
        <w:rPr>
          <w:rFonts w:ascii="Times New Roman" w:eastAsia="仿宋_GB2312" w:hAnsi="Times New Roman" w:hint="eastAsia"/>
          <w:color w:val="000000"/>
          <w:sz w:val="32"/>
          <w:szCs w:val="32"/>
        </w:rPr>
        <w:t>《武陵源区“屋场会”助力文明实践》得到张宏森部长肯定并进行试点推广</w:t>
      </w:r>
      <w:r>
        <w:rPr>
          <w:rFonts w:eastAsia="仿宋_GB2312" w:hint="eastAsia"/>
          <w:color w:val="000000"/>
          <w:sz w:val="32"/>
          <w:szCs w:val="32"/>
        </w:rPr>
        <w:t>。</w:t>
      </w:r>
      <w:r>
        <w:rPr>
          <w:rFonts w:ascii="Times New Roman" w:eastAsia="仿宋_GB2312" w:hAnsi="Times New Roman" w:hint="eastAsia"/>
          <w:color w:val="000000"/>
          <w:sz w:val="32"/>
          <w:szCs w:val="32"/>
        </w:rPr>
        <w:t>完善“五小”创建机制，出台</w:t>
      </w:r>
      <w:r>
        <w:rPr>
          <w:rFonts w:eastAsia="仿宋_GB2312"/>
          <w:color w:val="000000"/>
          <w:sz w:val="32"/>
          <w:szCs w:val="32"/>
        </w:rPr>
        <w:t>评选和管理办法</w:t>
      </w:r>
      <w:r>
        <w:rPr>
          <w:rFonts w:eastAsia="仿宋_GB2312" w:hint="eastAsia"/>
          <w:color w:val="000000"/>
          <w:sz w:val="32"/>
          <w:szCs w:val="32"/>
        </w:rPr>
        <w:t>。</w:t>
      </w:r>
      <w:r>
        <w:rPr>
          <w:rFonts w:ascii="Times New Roman" w:eastAsia="仿宋_GB2312" w:hAnsi="Times New Roman" w:hint="eastAsia"/>
          <w:color w:val="000000"/>
          <w:sz w:val="32"/>
          <w:szCs w:val="32"/>
        </w:rPr>
        <w:t>举办全市精神文明创建骨干培训会。</w:t>
      </w:r>
      <w:r>
        <w:rPr>
          <w:rFonts w:ascii="仿宋_GB2312" w:eastAsia="仿宋_GB2312" w:cs="仿宋" w:hint="eastAsia"/>
          <w:b/>
          <w:bCs/>
          <w:color w:val="000000"/>
          <w:sz w:val="32"/>
          <w:szCs w:val="44"/>
        </w:rPr>
        <w:t>先进模范聚能量。</w:t>
      </w:r>
      <w:r>
        <w:rPr>
          <w:rFonts w:ascii="仿宋_GB2312" w:eastAsia="仿宋_GB2312" w:cs="仿宋_GB2312"/>
          <w:color w:val="000000"/>
          <w:sz w:val="32"/>
          <w:szCs w:val="32"/>
        </w:rPr>
        <w:t>开展</w:t>
      </w:r>
      <w:r>
        <w:rPr>
          <w:rFonts w:ascii="仿宋_GB2312" w:eastAsia="仿宋_GB2312" w:cs="Times New Roman" w:hint="eastAsia"/>
          <w:color w:val="000000"/>
          <w:sz w:val="32"/>
          <w:szCs w:val="32"/>
        </w:rPr>
        <w:t>“</w:t>
      </w:r>
      <w:r>
        <w:rPr>
          <w:rFonts w:ascii="仿宋_GB2312" w:eastAsia="仿宋_GB2312" w:cs="仿宋_GB2312"/>
          <w:color w:val="000000"/>
          <w:sz w:val="32"/>
          <w:szCs w:val="32"/>
        </w:rPr>
        <w:t>走进红色课堂、传承红色基因</w:t>
      </w:r>
      <w:r>
        <w:rPr>
          <w:rFonts w:ascii="仿宋_GB2312" w:eastAsia="仿宋_GB2312" w:cs="Times New Roman" w:hint="eastAsia"/>
          <w:color w:val="000000"/>
          <w:sz w:val="32"/>
          <w:szCs w:val="32"/>
        </w:rPr>
        <w:t>”</w:t>
      </w:r>
      <w:r>
        <w:rPr>
          <w:rFonts w:ascii="仿宋_GB2312" w:eastAsia="仿宋_GB2312" w:cs="仿宋_GB2312"/>
          <w:color w:val="000000"/>
          <w:sz w:val="32"/>
          <w:szCs w:val="32"/>
        </w:rPr>
        <w:t>主题活动。加强爱国主义教育基地管理，开展第二批市级爱教基地申报工作，贺龙纪念馆开展爱国主义教育和革命文物保护的经验，在全省作交流发言。</w:t>
      </w:r>
      <w:r>
        <w:rPr>
          <w:rFonts w:ascii="Times New Roman" w:eastAsia="仿宋_GB2312" w:hAnsi="Times New Roman" w:hint="eastAsia"/>
          <w:color w:val="000000"/>
          <w:sz w:val="32"/>
          <w:szCs w:val="32"/>
        </w:rPr>
        <w:t>深入开展“我推荐我评议身边好人”活动，龚少雄获评“中国好人”，“湖南好人”</w:t>
      </w:r>
      <w:r>
        <w:rPr>
          <w:rFonts w:ascii="仿宋_GB2312" w:eastAsia="仿宋_GB2312" w:hint="eastAsia"/>
          <w:color w:val="000000"/>
          <w:sz w:val="32"/>
          <w:szCs w:val="32"/>
        </w:rPr>
        <w:t>“张家界好人”</w:t>
      </w:r>
      <w:r>
        <w:rPr>
          <w:rFonts w:ascii="Times New Roman" w:eastAsia="仿宋_GB2312" w:hAnsi="Times New Roman" w:hint="eastAsia"/>
          <w:color w:val="000000"/>
          <w:sz w:val="32"/>
          <w:szCs w:val="32"/>
        </w:rPr>
        <w:t>“新时代张家界好少年”“新时代湖南好少年”有序评选。周海燕获评全国未成年人工作先进个人。</w:t>
      </w:r>
      <w:r>
        <w:rPr>
          <w:rFonts w:ascii="仿宋_GB2312" w:eastAsia="仿宋_GB2312" w:cs="仿宋" w:hint="eastAsia"/>
          <w:b/>
          <w:bCs/>
          <w:color w:val="000000"/>
          <w:sz w:val="32"/>
          <w:szCs w:val="44"/>
        </w:rPr>
        <w:t>志愿服务出异彩</w:t>
      </w:r>
      <w:r>
        <w:rPr>
          <w:rFonts w:ascii="仿宋_GB2312" w:eastAsia="仿宋_GB2312" w:hint="eastAsia"/>
          <w:b/>
          <w:bCs/>
          <w:color w:val="000000"/>
          <w:sz w:val="32"/>
          <w:szCs w:val="32"/>
        </w:rPr>
        <w:t>。</w:t>
      </w:r>
      <w:r>
        <w:rPr>
          <w:rFonts w:ascii="Times New Roman" w:eastAsia="仿宋_GB2312" w:hAnsi="Times New Roman" w:hint="eastAsia"/>
          <w:color w:val="000000"/>
          <w:sz w:val="32"/>
          <w:szCs w:val="32"/>
        </w:rPr>
        <w:t>扎实开展“四季同行·雷锋家乡学雷锋”主题志愿服务活动。“三导”志愿服务形成了常态。举办2020年度张家界市乡村学校少年宫项目建设工作推进会暨成果展，并对新建项目负责人进行培训。</w:t>
      </w:r>
    </w:p>
    <w:p>
      <w:pPr>
        <w:adjustRightInd w:val="0"/>
        <w:snapToGrid w:val="0"/>
        <w:spacing w:line="600" w:lineRule="exact"/>
        <w:ind w:firstLineChars="200" w:firstLine="640"/>
        <w:rPr>
          <w:rFonts w:ascii="Times New Roman" w:eastAsia="楷体_GB2312" w:cs="Times New Roman" w:hAnsi="Times New Roman"/>
          <w:color w:val="000000"/>
          <w:sz w:val="32"/>
          <w:szCs w:val="32"/>
        </w:rPr>
      </w:pPr>
      <w:r>
        <w:rPr>
          <w:rFonts w:ascii="Times New Roman" w:eastAsia="楷体_GB2312" w:cs="Times New Roman" w:hAnsi="Times New Roman" w:hint="eastAsia"/>
          <w:color w:val="000000"/>
          <w:sz w:val="32"/>
          <w:szCs w:val="44"/>
        </w:rPr>
        <w:t>（六）抓好文化发展润心田。</w:t>
      </w:r>
      <w:r>
        <w:rPr>
          <w:rFonts w:ascii="仿宋_GB2312" w:eastAsia="仿宋_GB2312" w:cs="仿宋_GB2312" w:hint="eastAsia"/>
          <w:b/>
          <w:bCs/>
          <w:color w:val="000000"/>
          <w:sz w:val="32"/>
          <w:szCs w:val="32"/>
        </w:rPr>
        <w:t>文艺创作成果丰硕。</w:t>
      </w:r>
      <w:r>
        <w:rPr>
          <w:rFonts w:ascii="Times New Roman" w:eastAsia="仿宋_GB2312" w:cs="仿宋_GB2312" w:hAnsi="Times New Roman" w:hint="eastAsia"/>
          <w:color w:val="000000"/>
          <w:sz w:val="32"/>
          <w:szCs w:val="32"/>
        </w:rPr>
        <w:t>民歌《你莫走》网络综合点击量超过</w:t>
      </w:r>
      <w:r>
        <w:rPr>
          <w:rFonts w:ascii="Times New Roman" w:eastAsia="仿宋_GB2312" w:cs="仿宋_GB2312" w:hAnsi="Times New Roman" w:hint="eastAsia"/>
          <w:color w:val="000000"/>
          <w:sz w:val="32"/>
          <w:szCs w:val="32"/>
          <w:lang w:val="en-US" w:eastAsia="zh-CN"/>
        </w:rPr>
        <w:t>100</w:t>
      </w:r>
      <w:r>
        <w:rPr>
          <w:rFonts w:ascii="Times New Roman" w:eastAsia="仿宋_GB2312" w:cs="仿宋_GB2312" w:hAnsi="Times New Roman" w:hint="eastAsia"/>
          <w:color w:val="000000"/>
          <w:sz w:val="32"/>
          <w:szCs w:val="32"/>
        </w:rPr>
        <w:t>亿人次。《石头开花》《火鸟》分别荣获省“梦圆2020”脱贫攻坚主题文艺创作长篇报告文学、长篇小说一等奖。《卡普它》《戴银饰的姑娘》在第六届“潇湘好歌”征集活动中分获金奖、铜奖。全国脱贫攻坚重点电视剧《江山如此多娇》在张家界拍摄完成。全国首部信访系列广播剧《信访那些事儿》广受好评并在“学习强国”推介。</w:t>
      </w:r>
      <w:r>
        <w:rPr>
          <w:rFonts w:ascii="仿宋_GB2312" w:eastAsia="仿宋_GB2312" w:cs="仿宋_GB2312" w:hint="eastAsia"/>
          <w:b/>
          <w:bCs/>
          <w:color w:val="000000"/>
          <w:sz w:val="32"/>
          <w:szCs w:val="32"/>
        </w:rPr>
        <w:t>文艺活动异彩纷呈。</w:t>
      </w:r>
      <w:r>
        <w:rPr>
          <w:rFonts w:ascii="Times New Roman" w:eastAsia="仿宋_GB2312" w:cs="仿宋_GB2312" w:hAnsi="Times New Roman" w:hint="eastAsia"/>
          <w:color w:val="000000"/>
          <w:sz w:val="32"/>
          <w:szCs w:val="32"/>
        </w:rPr>
        <w:t>精心创排“为了胜利”—张家界市纪念中国人民志愿军抗美援朝出国作战70周年文艺演出， 8000余人观看，社会效益良好。组织开展欢乐潇湘、一乡一品、广场舞比赛等群众文化活动，参与群众累计上万人，观众约60万人次。“中国</w:t>
      </w:r>
      <w:r>
        <w:rPr>
          <w:rFonts w:ascii="仿宋_GB2312" w:eastAsia="仿宋_GB2312" w:cs="仿宋_GB2312" w:hint="eastAsia"/>
          <w:bCs/>
          <w:color w:val="000000"/>
          <w:sz w:val="32"/>
          <w:szCs w:val="32"/>
        </w:rPr>
        <w:t>·</w:t>
      </w:r>
      <w:r>
        <w:rPr>
          <w:rFonts w:ascii="Times New Roman" w:eastAsia="仿宋_GB2312" w:cs="仿宋_GB2312" w:hAnsi="Times New Roman" w:hint="eastAsia"/>
          <w:color w:val="000000"/>
          <w:sz w:val="32"/>
          <w:szCs w:val="32"/>
        </w:rPr>
        <w:t>张家界首届世界遗产摄影大展”成功举办，共有550名摄影家参展，作品6800幅，涉及78个国家120处世界遗产地，35万人次观展。</w:t>
      </w:r>
      <w:r>
        <w:rPr>
          <w:rFonts w:ascii="Times New Roman" w:eastAsia="仿宋_GB2312" w:cs="Times New Roman" w:hAnsi="Times New Roman" w:hint="eastAsia"/>
          <w:b/>
          <w:bCs/>
          <w:color w:val="000000"/>
          <w:sz w:val="32"/>
          <w:szCs w:val="32"/>
        </w:rPr>
        <w:t>文化产业逐步壮大。</w:t>
      </w:r>
      <w:r>
        <w:rPr>
          <w:rFonts w:ascii="仿宋_GB2312" w:eastAsia="仿宋_GB2312" w:cs="Times New Roman" w:hint="eastAsia"/>
          <w:color w:val="000000"/>
          <w:sz w:val="32"/>
          <w:szCs w:val="32"/>
        </w:rPr>
        <w:t>争取省级应对疫情补贴资</w:t>
      </w:r>
      <w:r>
        <w:rPr>
          <w:rFonts w:ascii="Times New Roman" w:eastAsia="仿宋_GB2312" w:cs="Times New Roman" w:hAnsi="Times New Roman"/>
          <w:color w:val="000000"/>
          <w:sz w:val="32"/>
          <w:szCs w:val="32"/>
        </w:rPr>
        <w:t>金160万元。协助文化企业贷款5.6亿</w:t>
      </w:r>
      <w:r>
        <w:rPr>
          <w:rFonts w:ascii="仿宋_GB2312" w:eastAsia="仿宋_GB2312" w:cs="Times New Roman" w:hint="eastAsia"/>
          <w:color w:val="000000"/>
          <w:sz w:val="32"/>
          <w:szCs w:val="32"/>
        </w:rPr>
        <w:t>元。《魅力湘西》受邀参加湖南卫视《出手吧兄弟》现场晚会，助力直播带货。完成《天门狐仙·新刘海砍樵》升级改造项目。军声砂石画研究院文产基地、土家织锦文化创意园项目进展顺利。</w:t>
      </w:r>
    </w:p>
    <w:p>
      <w:pPr>
        <w:adjustRightInd w:val="0"/>
        <w:snapToGrid w:val="0"/>
        <w:spacing w:line="600" w:lineRule="exact"/>
        <w:ind w:firstLineChars="200" w:firstLine="640"/>
        <w:rPr>
          <w:rFonts w:ascii="Times New Roman" w:eastAsia="黑体" w:hAnsi="Times New Roman"/>
          <w:b w:val="0"/>
          <w:i w:val="0"/>
          <w:caps w:val="0"/>
          <w:smallCaps w:val="0"/>
          <w:color w:val="000000"/>
          <w:spacing w:val="0"/>
          <w:w w:val="100"/>
          <w:sz w:val="32"/>
          <w:szCs w:val="32"/>
        </w:rPr>
      </w:pPr>
      <w:r>
        <w:rPr>
          <w:rFonts w:ascii="Times New Roman" w:eastAsia="楷体_GB2312" w:cs="Times New Roman" w:hAnsi="Times New Roman" w:hint="eastAsia"/>
          <w:color w:val="000000"/>
          <w:sz w:val="32"/>
          <w:szCs w:val="32"/>
        </w:rPr>
        <w:t>（七）抓好党的建设固根本。</w:t>
      </w:r>
      <w:r>
        <w:rPr>
          <w:rFonts w:ascii="仿宋_GB2312" w:eastAsia="仿宋_GB2312" w:cs="仿宋_GB2312" w:hint="eastAsia"/>
          <w:b/>
          <w:bCs/>
          <w:color w:val="000000"/>
          <w:sz w:val="32"/>
          <w:szCs w:val="32"/>
        </w:rPr>
        <w:t>强化巡察整改。</w:t>
      </w:r>
      <w:r>
        <w:rPr>
          <w:rFonts w:ascii="仿宋_GB2312" w:eastAsia="仿宋_GB2312" w:hint="eastAsia"/>
          <w:color w:val="000000"/>
          <w:sz w:val="32"/>
          <w:szCs w:val="32"/>
        </w:rPr>
        <w:t>把巡察整改工作当做首要政治任务落实，对照</w:t>
      </w:r>
      <w:r>
        <w:rPr>
          <w:rFonts w:ascii="仿宋_GB2312" w:eastAsia="仿宋_GB2312"/>
          <w:color w:val="000000"/>
          <w:sz w:val="32"/>
          <w:szCs w:val="32"/>
        </w:rPr>
        <w:t>反馈的具体问题逐条细化整改措施</w:t>
      </w:r>
      <w:r>
        <w:rPr>
          <w:rFonts w:ascii="仿宋_GB2312" w:eastAsia="仿宋_GB2312" w:hint="eastAsia"/>
          <w:color w:val="000000"/>
          <w:sz w:val="32"/>
          <w:szCs w:val="32"/>
        </w:rPr>
        <w:t>，推动整改工作高质量完成，目前正在扎实有序推进。</w:t>
      </w:r>
      <w:r>
        <w:rPr>
          <w:rFonts w:ascii="Times New Roman" w:eastAsia="仿宋_GB2312" w:cs="Times New Roman" w:hAnsi="Times New Roman" w:hint="eastAsia"/>
          <w:b/>
          <w:bCs/>
          <w:color w:val="000000"/>
          <w:sz w:val="32"/>
          <w:szCs w:val="32"/>
        </w:rPr>
        <w:t>强化自身建设。</w:t>
      </w:r>
      <w:r>
        <w:rPr>
          <w:rFonts w:ascii="仿宋_GB2312" w:eastAsia="仿宋_GB2312" w:cs="Times New Roman" w:hint="eastAsia"/>
          <w:color w:val="000000"/>
          <w:sz w:val="32"/>
          <w:szCs w:val="32"/>
        </w:rPr>
        <w:t>出台《市委宣传部关于贯彻落实全面</w:t>
      </w:r>
      <w:r>
        <w:rPr>
          <w:rFonts w:ascii="Times New Roman" w:eastAsia="仿宋_GB2312" w:cs="Times New Roman" w:hAnsi="Times New Roman"/>
          <w:color w:val="000000"/>
          <w:sz w:val="32"/>
          <w:szCs w:val="32"/>
        </w:rPr>
        <w:t>从严治党主体责任四项措施》。</w:t>
      </w:r>
      <w:r>
        <w:rPr>
          <w:rFonts w:ascii="仿宋_GB2312" w:eastAsia="仿宋_GB2312" w:cs="仿宋_GB2312" w:hint="eastAsia"/>
          <w:color w:val="000000"/>
          <w:sz w:val="32"/>
          <w:szCs w:val="32"/>
        </w:rPr>
        <w:t>举办全市宣传思想干部培训班，提升全市宣传队伍“四力”能力。</w:t>
      </w:r>
      <w:r>
        <w:rPr>
          <w:rFonts w:ascii="仿宋_GB2312" w:eastAsia="仿宋_GB2312" w:cs="Times New Roman" w:hint="eastAsia"/>
          <w:color w:val="000000"/>
          <w:sz w:val="32"/>
          <w:szCs w:val="32"/>
        </w:rPr>
        <w:t>大力推进支部“五</w:t>
      </w:r>
      <w:r>
        <w:rPr>
          <w:rFonts w:ascii="Times New Roman" w:eastAsia="仿宋_GB2312" w:cs="Times New Roman" w:hAnsi="Times New Roman"/>
          <w:color w:val="000000"/>
          <w:sz w:val="32"/>
          <w:szCs w:val="32"/>
        </w:rPr>
        <w:t>化</w:t>
      </w:r>
      <w:r>
        <w:rPr>
          <w:rFonts w:ascii="仿宋_GB2312" w:eastAsia="仿宋_GB2312" w:cs="Times New Roman" w:hint="eastAsia"/>
          <w:color w:val="000000"/>
          <w:sz w:val="32"/>
          <w:szCs w:val="32"/>
        </w:rPr>
        <w:t>”</w:t>
      </w:r>
      <w:r>
        <w:rPr>
          <w:rFonts w:ascii="Times New Roman" w:eastAsia="仿宋_GB2312" w:cs="Times New Roman" w:hAnsi="Times New Roman"/>
          <w:color w:val="000000"/>
          <w:sz w:val="32"/>
          <w:szCs w:val="32"/>
        </w:rPr>
        <w:t>建设，积极创建</w:t>
      </w:r>
      <w:r>
        <w:rPr>
          <w:rFonts w:ascii="仿宋_GB2312" w:eastAsia="仿宋_GB2312" w:cs="Times New Roman" w:hint="eastAsia"/>
          <w:color w:val="000000"/>
          <w:sz w:val="32"/>
          <w:szCs w:val="32"/>
        </w:rPr>
        <w:t>“</w:t>
      </w:r>
      <w:r>
        <w:rPr>
          <w:rFonts w:ascii="Times New Roman" w:eastAsia="仿宋_GB2312" w:cs="Times New Roman" w:hAnsi="Times New Roman"/>
          <w:color w:val="000000"/>
          <w:sz w:val="32"/>
          <w:szCs w:val="32"/>
        </w:rPr>
        <w:t>让党中央放心、让人民群众满意</w:t>
      </w:r>
      <w:r>
        <w:rPr>
          <w:rFonts w:ascii="仿宋_GB2312" w:eastAsia="仿宋_GB2312" w:cs="Times New Roman" w:hint="eastAsia"/>
          <w:color w:val="000000"/>
          <w:sz w:val="32"/>
          <w:szCs w:val="32"/>
        </w:rPr>
        <w:t>”</w:t>
      </w:r>
      <w:r>
        <w:rPr>
          <w:rFonts w:ascii="Times New Roman" w:eastAsia="仿宋_GB2312" w:cs="Times New Roman" w:hAnsi="Times New Roman"/>
          <w:color w:val="000000"/>
          <w:sz w:val="32"/>
          <w:szCs w:val="32"/>
        </w:rPr>
        <w:t>的模范</w:t>
      </w:r>
      <w:r>
        <w:rPr>
          <w:rFonts w:ascii="仿宋_GB2312" w:eastAsia="仿宋_GB2312" w:cs="Times New Roman" w:hint="eastAsia"/>
          <w:color w:val="000000"/>
          <w:sz w:val="32"/>
          <w:szCs w:val="32"/>
        </w:rPr>
        <w:t>机关</w:t>
      </w:r>
      <w:r>
        <w:rPr>
          <w:rFonts w:ascii="Times New Roman" w:eastAsia="仿宋_GB2312" w:cs="Times New Roman" w:hAnsi="Times New Roman"/>
          <w:color w:val="000000"/>
          <w:sz w:val="32"/>
          <w:szCs w:val="32"/>
        </w:rPr>
        <w:t>。</w:t>
      </w:r>
      <w:r>
        <w:rPr>
          <w:rFonts w:ascii="Times New Roman" w:eastAsia="仿宋_GB2312" w:cs="Times New Roman" w:hAnsi="Times New Roman" w:hint="eastAsia"/>
          <w:b/>
          <w:color w:val="000000"/>
          <w:sz w:val="32"/>
          <w:szCs w:val="32"/>
        </w:rPr>
        <w:t>强化</w:t>
      </w:r>
      <w:r>
        <w:rPr>
          <w:rFonts w:ascii="Times New Roman" w:eastAsia="仿宋_GB2312" w:cs="Times New Roman" w:hAnsi="Times New Roman"/>
          <w:b/>
          <w:bCs/>
          <w:color w:val="000000"/>
          <w:sz w:val="32"/>
          <w:szCs w:val="44"/>
        </w:rPr>
        <w:t>作风</w:t>
      </w:r>
      <w:r>
        <w:rPr>
          <w:rFonts w:ascii="Times New Roman" w:eastAsia="仿宋_GB2312" w:cs="Times New Roman" w:hAnsi="Times New Roman" w:hint="eastAsia"/>
          <w:b/>
          <w:bCs/>
          <w:color w:val="000000"/>
          <w:sz w:val="32"/>
          <w:szCs w:val="44"/>
        </w:rPr>
        <w:t>建设</w:t>
      </w:r>
      <w:r>
        <w:rPr>
          <w:rFonts w:ascii="Times New Roman" w:eastAsia="仿宋_GB2312" w:cs="Times New Roman" w:hAnsi="Times New Roman"/>
          <w:b/>
          <w:bCs/>
          <w:color w:val="000000"/>
          <w:sz w:val="32"/>
          <w:szCs w:val="44"/>
        </w:rPr>
        <w:t>。</w:t>
      </w:r>
      <w:r>
        <w:rPr>
          <w:rFonts w:ascii="Times New Roman" w:eastAsia="仿宋_GB2312" w:cs="Times New Roman" w:hAnsi="Times New Roman" w:hint="eastAsia"/>
          <w:color w:val="000000"/>
          <w:sz w:val="32"/>
          <w:szCs w:val="32"/>
        </w:rPr>
        <w:t>开展以案说法、以案示警，不断筑牢党风廉政思想防线。</w:t>
      </w:r>
      <w:r>
        <w:rPr>
          <w:rFonts w:ascii="Times New Roman" w:eastAsia="仿宋_GB2312" w:cs="Times New Roman" w:hAnsi="Times New Roman"/>
          <w:color w:val="000000"/>
          <w:sz w:val="32"/>
          <w:szCs w:val="32"/>
        </w:rPr>
        <w:t>认真落实中央八项规定精神及省委、市委实施细则，坚决落实改进新闻报道实施细则，深入联系贫困村、三联四建社区开展帮扶工作，党员干部的群众观念进一步增强。</w:t>
      </w:r>
    </w:p>
    <w:p>
      <w:pPr>
        <w:adjustRightInd w:val="0"/>
        <w:snapToGrid w:val="0"/>
        <w:spacing w:line="600" w:lineRule="exact"/>
        <w:ind w:firstLineChars="200" w:firstLine="640"/>
        <w:rPr>
          <w:rFonts w:ascii="Times New Roman" w:eastAsia="仿宋_GB2312" w:cs="Times New Roman" w:hAnsi="Times New Roman"/>
          <w:bCs/>
          <w:color w:val="000000"/>
          <w:sz w:val="32"/>
          <w:szCs w:val="32"/>
        </w:rPr>
      </w:pPr>
      <w:r>
        <w:rPr>
          <w:rFonts w:ascii="Times New Roman" w:eastAsia="黑体" w:hAnsi="Times New Roman"/>
          <w:b w:val="0"/>
          <w:i w:val="0"/>
          <w:caps w:val="0"/>
          <w:smallCaps w:val="0"/>
          <w:color w:val="000000"/>
          <w:spacing w:val="0"/>
          <w:w w:val="100"/>
          <w:sz w:val="32"/>
          <w:szCs w:val="32"/>
        </w:rPr>
        <w:t>七、存在问题及原因分析</w:t>
      </w:r>
    </w:p>
    <w:p>
      <w:pPr>
        <w:adjustRightInd w:val="0"/>
        <w:snapToGrid w:val="0"/>
        <w:spacing w:line="600" w:lineRule="exact"/>
        <w:ind w:firstLineChars="200" w:firstLine="640"/>
        <w:rPr>
          <w:rFonts w:ascii="Times New Roman" w:eastAsia="仿宋_GB2312" w:cs="Times New Roman" w:hAnsi="Times New Roman"/>
          <w:bCs/>
          <w:color w:val="000000"/>
          <w:sz w:val="32"/>
          <w:szCs w:val="32"/>
        </w:rPr>
      </w:pPr>
      <w:r>
        <w:rPr>
          <w:rFonts w:ascii="Times New Roman" w:eastAsia="仿宋_GB2312" w:cs="Times New Roman" w:hAnsi="Times New Roman"/>
          <w:bCs/>
          <w:color w:val="000000"/>
          <w:sz w:val="32"/>
          <w:szCs w:val="32"/>
        </w:rPr>
        <w:t>理论</w:t>
      </w:r>
      <w:r>
        <w:rPr>
          <w:rFonts w:ascii="Times New Roman" w:eastAsia="仿宋_GB2312" w:cs="Times New Roman" w:hAnsi="Times New Roman" w:hint="eastAsia"/>
          <w:bCs/>
          <w:color w:val="000000"/>
          <w:sz w:val="32"/>
          <w:szCs w:val="32"/>
        </w:rPr>
        <w:t>学习形式创新不够</w:t>
      </w:r>
      <w:r>
        <w:rPr>
          <w:rFonts w:ascii="Times New Roman" w:eastAsia="仿宋_GB2312" w:cs="Times New Roman" w:hAnsi="Times New Roman"/>
          <w:bCs/>
          <w:color w:val="000000"/>
          <w:sz w:val="32"/>
          <w:szCs w:val="32"/>
        </w:rPr>
        <w:t>，意识形态</w:t>
      </w:r>
      <w:r>
        <w:rPr>
          <w:rFonts w:ascii="Times New Roman" w:eastAsia="仿宋_GB2312" w:cs="Times New Roman" w:hAnsi="Times New Roman" w:hint="eastAsia"/>
          <w:bCs/>
          <w:color w:val="000000"/>
          <w:sz w:val="32"/>
          <w:szCs w:val="32"/>
        </w:rPr>
        <w:t>领域还存在风险点</w:t>
      </w:r>
      <w:r>
        <w:rPr>
          <w:rFonts w:ascii="Times New Roman" w:eastAsia="仿宋_GB2312" w:cs="Times New Roman" w:hAnsi="Times New Roman"/>
          <w:bCs/>
          <w:color w:val="000000"/>
          <w:sz w:val="32"/>
          <w:szCs w:val="32"/>
        </w:rPr>
        <w:t>，</w:t>
      </w:r>
      <w:r>
        <w:rPr>
          <w:rFonts w:ascii="Times New Roman" w:eastAsia="仿宋_GB2312" w:cs="Times New Roman" w:hAnsi="Times New Roman"/>
          <w:color w:val="000000"/>
          <w:sz w:val="32"/>
          <w:szCs w:val="44"/>
        </w:rPr>
        <w:t>新</w:t>
      </w:r>
      <w:r>
        <w:rPr>
          <w:rFonts w:ascii="Times New Roman" w:eastAsia="仿宋_GB2312" w:cs="Times New Roman" w:hAnsi="Times New Roman"/>
          <w:bCs/>
          <w:color w:val="000000"/>
          <w:sz w:val="32"/>
          <w:szCs w:val="32"/>
        </w:rPr>
        <w:t>新闻宣传</w:t>
      </w:r>
      <w:r>
        <w:rPr>
          <w:rFonts w:ascii="Times New Roman" w:eastAsia="仿宋_GB2312" w:cs="Times New Roman" w:hAnsi="Times New Roman" w:hint="eastAsia"/>
          <w:bCs/>
          <w:color w:val="000000"/>
          <w:sz w:val="32"/>
          <w:szCs w:val="32"/>
        </w:rPr>
        <w:t>吸引力和感染力</w:t>
      </w:r>
      <w:r>
        <w:rPr>
          <w:rFonts w:ascii="Times New Roman" w:eastAsia="仿宋_GB2312" w:cs="Times New Roman" w:hAnsi="Times New Roman"/>
          <w:bCs/>
          <w:color w:val="000000"/>
          <w:sz w:val="32"/>
          <w:szCs w:val="32"/>
        </w:rPr>
        <w:t>还</w:t>
      </w:r>
      <w:r>
        <w:rPr>
          <w:rFonts w:ascii="Times New Roman" w:eastAsia="仿宋_GB2312" w:cs="Times New Roman" w:hAnsi="Times New Roman" w:hint="eastAsia"/>
          <w:bCs/>
          <w:color w:val="000000"/>
          <w:sz w:val="32"/>
          <w:szCs w:val="32"/>
        </w:rPr>
        <w:t>有待加</w:t>
      </w:r>
      <w:r>
        <w:rPr>
          <w:rFonts w:ascii="Times New Roman" w:eastAsia="仿宋_GB2312" w:cs="Times New Roman" w:hAnsi="Times New Roman"/>
          <w:bCs/>
          <w:color w:val="000000"/>
          <w:sz w:val="32"/>
          <w:szCs w:val="32"/>
        </w:rPr>
        <w:t>强，</w:t>
      </w:r>
      <w:r>
        <w:rPr>
          <w:rFonts w:ascii="Times New Roman" w:eastAsia="仿宋_GB2312" w:cs="Times New Roman" w:hAnsi="Times New Roman" w:hint="eastAsia"/>
          <w:bCs/>
          <w:color w:val="000000"/>
          <w:sz w:val="32"/>
          <w:szCs w:val="32"/>
        </w:rPr>
        <w:t>文化产业实力还比较弱小，宣传思想</w:t>
      </w:r>
      <w:r>
        <w:rPr>
          <w:rFonts w:ascii="Times New Roman" w:eastAsia="仿宋_GB2312" w:cs="Times New Roman" w:hAnsi="Times New Roman"/>
          <w:color w:val="000000"/>
          <w:sz w:val="32"/>
          <w:szCs w:val="44"/>
        </w:rPr>
        <w:t>文化人才</w:t>
      </w:r>
      <w:r>
        <w:rPr>
          <w:rFonts w:ascii="Times New Roman" w:eastAsia="仿宋_GB2312" w:cs="Times New Roman" w:hAnsi="Times New Roman" w:hint="eastAsia"/>
          <w:color w:val="000000"/>
          <w:sz w:val="32"/>
          <w:szCs w:val="44"/>
        </w:rPr>
        <w:t>队伍整体素质还亟待提升</w:t>
      </w:r>
      <w:r>
        <w:rPr>
          <w:rFonts w:ascii="Times New Roman" w:eastAsia="仿宋_GB2312" w:cs="Times New Roman" w:hAnsi="Times New Roman"/>
          <w:bCs/>
          <w:color w:val="000000"/>
          <w:sz w:val="32"/>
          <w:szCs w:val="32"/>
        </w:rPr>
        <w:t>。</w:t>
      </w:r>
    </w:p>
    <w:p>
      <w:pPr>
        <w:adjustRightInd w:val="0"/>
        <w:snapToGrid w:val="0"/>
        <w:spacing w:line="600" w:lineRule="exact"/>
        <w:ind w:firstLineChars="200" w:firstLine="640"/>
        <w:rPr>
          <w:rFonts w:ascii="黑体" w:eastAsia="黑体" w:cs="黑体"/>
          <w:b w:val="0"/>
          <w:bCs w:val="0"/>
          <w:i w:val="0"/>
          <w:caps w:val="0"/>
          <w:smallCaps w:val="0"/>
          <w:color w:val="000000"/>
          <w:w w:val="100"/>
          <w:sz w:val="32"/>
          <w:szCs w:val="32"/>
        </w:rPr>
      </w:pPr>
      <w:r>
        <w:rPr>
          <w:rFonts w:ascii="黑体" w:eastAsia="黑体" w:cs="Times New Roman" w:hint="eastAsia"/>
          <w:bCs/>
          <w:color w:val="000000"/>
          <w:sz w:val="32"/>
          <w:szCs w:val="32"/>
        </w:rPr>
        <w:t>八、</w:t>
      </w:r>
      <w:r>
        <w:rPr>
          <w:rFonts w:ascii="黑体" w:eastAsia="黑体" w:cs="黑体" w:hint="eastAsia"/>
          <w:b w:val="0"/>
          <w:bCs w:val="0"/>
          <w:i w:val="0"/>
          <w:caps w:val="0"/>
          <w:smallCaps w:val="0"/>
          <w:color w:val="000000"/>
          <w:w w:val="100"/>
          <w:sz w:val="32"/>
          <w:szCs w:val="32"/>
        </w:rPr>
        <w:t>改进措施</w:t>
      </w:r>
    </w:p>
    <w:p>
      <w:pPr>
        <w:adjustRightInd w:val="0"/>
        <w:snapToGrid w:val="0"/>
        <w:spacing w:line="600" w:lineRule="exact"/>
        <w:ind w:firstLineChars="200" w:firstLine="640"/>
        <w:rPr>
          <w:rFonts w:eastAsia="仿宋_GB2312"/>
          <w:color w:val="000000"/>
          <w:sz w:val="32"/>
          <w:szCs w:val="32"/>
        </w:rPr>
      </w:pPr>
      <w:r>
        <w:rPr>
          <w:rFonts w:eastAsia="黑体"/>
          <w:b w:val="0"/>
          <w:bCs w:val="0"/>
          <w:i w:val="0"/>
          <w:caps w:val="0"/>
          <w:smallCaps w:val="0"/>
          <w:color w:val="000000"/>
          <w:w w:val="100"/>
          <w:sz w:val="32"/>
          <w:szCs w:val="32"/>
        </w:rPr>
        <w:t>1.</w:t>
      </w:r>
      <w:r>
        <w:rPr>
          <w:rFonts w:eastAsia="仿宋_GB2312"/>
          <w:color w:val="000000"/>
          <w:sz w:val="32"/>
          <w:szCs w:val="32"/>
        </w:rPr>
        <w:t>加强班子队伍建设。进一步转变思想认识、转变工作作风、强化提升执行力，进一步</w:t>
      </w:r>
      <w:r>
        <w:rPr>
          <w:rFonts w:ascii="仿宋_GB2312" w:eastAsia="仿宋_GB2312" w:hint="eastAsia"/>
          <w:color w:val="000000"/>
          <w:sz w:val="32"/>
          <w:szCs w:val="32"/>
        </w:rPr>
        <w:t>深化“走基层</w:t>
      </w:r>
      <w:r>
        <w:rPr>
          <w:rFonts w:ascii="仿宋_GB2312" w:eastAsia="仿宋_GB2312"/>
          <w:color w:val="000000"/>
          <w:sz w:val="32"/>
          <w:szCs w:val="32"/>
        </w:rPr>
        <w:t xml:space="preserve"> </w:t>
      </w:r>
      <w:r>
        <w:rPr>
          <w:rFonts w:ascii="仿宋_GB2312" w:eastAsia="仿宋_GB2312" w:hint="eastAsia"/>
          <w:color w:val="000000"/>
          <w:sz w:val="32"/>
          <w:szCs w:val="32"/>
        </w:rPr>
        <w:t>转作风</w:t>
      </w:r>
      <w:r>
        <w:rPr>
          <w:rFonts w:ascii="仿宋_GB2312" w:eastAsia="仿宋_GB2312"/>
          <w:color w:val="000000"/>
          <w:sz w:val="32"/>
          <w:szCs w:val="32"/>
        </w:rPr>
        <w:t xml:space="preserve"> </w:t>
      </w:r>
      <w:r>
        <w:rPr>
          <w:rFonts w:ascii="仿宋_GB2312" w:eastAsia="仿宋_GB2312" w:hint="eastAsia"/>
          <w:color w:val="000000"/>
          <w:sz w:val="32"/>
          <w:szCs w:val="32"/>
        </w:rPr>
        <w:t>改文风”，带头扬新风，说群众想说的话、讲群众</w:t>
      </w:r>
      <w:r>
        <w:rPr>
          <w:rFonts w:eastAsia="仿宋_GB2312"/>
          <w:color w:val="000000"/>
          <w:sz w:val="32"/>
          <w:szCs w:val="32"/>
        </w:rPr>
        <w:t>能懂的话，为群众提供想看爱看、健康向上的精神文化产品，使宣传思想文化工作更加可亲可信、深入人心。紧跟市委市政府决策部署，主动融入到市委、市政府的中心工作，切实增强服务经济和服务基层的能力，让宣传思想工作更有针对性、更富创造力。</w:t>
      </w:r>
    </w:p>
    <w:p>
      <w:pPr>
        <w:adjustRightInd w:val="0"/>
        <w:snapToGrid w:val="0"/>
        <w:spacing w:line="600" w:lineRule="exact"/>
        <w:ind w:firstLineChars="200" w:firstLine="640"/>
        <w:rPr>
          <w:rFonts w:eastAsia="仿宋_GB2312"/>
          <w:color w:val="000000"/>
          <w:sz w:val="32"/>
          <w:szCs w:val="32"/>
        </w:rPr>
      </w:pPr>
      <w:r>
        <w:rPr>
          <w:rFonts w:eastAsia="仿宋_GB2312"/>
          <w:color w:val="000000"/>
          <w:sz w:val="32"/>
          <w:szCs w:val="32"/>
        </w:rPr>
        <w:t>2.加强意识形态工作的量化和细化，进一步推动绩效管理工作；加强绩效管理的实际操作性，严格按照时间进度推进工作，确保各项工作全面完成；更加重视绩效评价工作的重要性和大局性，从工作各方做好支出监控，为财政部门的预算和制订政策方面提供有效依据。</w:t>
      </w:r>
    </w:p>
    <w:p>
      <w:pPr>
        <w:adjustRightInd w:val="0"/>
        <w:snapToGrid w:val="0"/>
        <w:spacing w:line="600" w:lineRule="exact"/>
        <w:ind w:firstLineChars="200" w:firstLine="640"/>
        <w:rPr>
          <w:rFonts w:eastAsia="黑体"/>
          <w:b w:val="0"/>
          <w:i w:val="0"/>
          <w:caps w:val="0"/>
          <w:smallCaps w:val="0"/>
          <w:color w:val="000000"/>
          <w:spacing w:val="0"/>
          <w:w w:val="100"/>
          <w:sz w:val="32"/>
          <w:szCs w:val="32"/>
        </w:rPr>
      </w:pPr>
      <w:r>
        <w:rPr>
          <w:rFonts w:eastAsia="仿宋_GB2312"/>
          <w:color w:val="000000"/>
          <w:sz w:val="32"/>
          <w:szCs w:val="32"/>
        </w:rPr>
        <w:t xml:space="preserve">3.充分发挥绩效考评机制作用。要把绩效考评工作作为一项长效机制坚持下去，实现绩效管理规范化、常态化，边考评、边改进，把考评标准落实到日常运行管理中。  </w:t>
      </w:r>
    </w:p>
    <w:p>
      <w:pPr>
        <w:adjustRightInd w:val="0"/>
        <w:snapToGrid w:val="0"/>
        <w:spacing w:line="600" w:lineRule="exact"/>
        <w:ind w:firstLineChars="200" w:firstLine="640"/>
        <w:rPr>
          <w:rFonts w:ascii="仿宋" w:eastAsia="仿宋" w:cs="仿宋"/>
          <w:b w:val="0"/>
          <w:i w:val="0"/>
          <w:caps w:val="0"/>
          <w:smallCaps w:val="0"/>
          <w:color w:val="000000"/>
          <w:spacing w:val="0"/>
          <w:w w:val="100"/>
          <w:sz w:val="32"/>
          <w:szCs w:val="32"/>
          <w:lang w:val="en-US" w:eastAsia="zh-CN"/>
        </w:rPr>
      </w:pPr>
      <w:r>
        <w:rPr>
          <w:rFonts w:eastAsia="黑体"/>
          <w:b w:val="0"/>
          <w:i w:val="0"/>
          <w:caps w:val="0"/>
          <w:smallCaps w:val="0"/>
          <w:color w:val="000000"/>
          <w:spacing w:val="0"/>
          <w:w w:val="100"/>
          <w:sz w:val="32"/>
          <w:szCs w:val="32"/>
        </w:rPr>
        <w:t>九、绩效自评结果拟应用和公开情况</w:t>
      </w:r>
    </w:p>
    <w:p>
      <w:pPr>
        <w:adjustRightInd w:val="0"/>
        <w:snapToGrid w:val="0"/>
        <w:spacing w:line="600" w:lineRule="exact"/>
        <w:ind w:firstLineChars="200" w:firstLine="640"/>
        <w:rPr>
          <w:rFonts w:eastAsia="黑体"/>
          <w:b w:val="0"/>
          <w:i w:val="0"/>
          <w:caps w:val="0"/>
          <w:smallCaps w:val="0"/>
          <w:color w:val="000000"/>
          <w:spacing w:val="0"/>
          <w:w w:val="100"/>
          <w:sz w:val="32"/>
          <w:szCs w:val="32"/>
          <w:lang w:val="en-US" w:eastAsia="zh-CN"/>
        </w:rPr>
      </w:pPr>
      <w:r>
        <w:rPr>
          <w:rFonts w:ascii="仿宋_GB2312" w:eastAsia="仿宋_GB2312" w:cs="仿宋" w:hint="eastAsia"/>
          <w:b w:val="0"/>
          <w:i w:val="0"/>
          <w:caps w:val="0"/>
          <w:smallCaps w:val="0"/>
          <w:color w:val="000000"/>
          <w:spacing w:val="0"/>
          <w:w w:val="100"/>
          <w:sz w:val="32"/>
          <w:szCs w:val="32"/>
          <w:lang w:val="en-US" w:eastAsia="zh-CN"/>
        </w:rPr>
        <w:t>本绩效评价完成后，</w:t>
      </w:r>
      <w:r>
        <w:rPr>
          <w:rFonts w:ascii="仿宋_GB2312" w:eastAsia="仿宋_GB2312" w:cs="仿宋" w:hint="eastAsia"/>
          <w:b w:val="0"/>
          <w:i w:val="0"/>
          <w:caps w:val="0"/>
          <w:smallCaps w:val="0"/>
          <w:color w:val="000000"/>
          <w:spacing w:val="0"/>
          <w:w w:val="100"/>
          <w:sz w:val="32"/>
          <w:szCs w:val="32"/>
        </w:rPr>
        <w:t>绩效自评报告</w:t>
      </w:r>
      <w:r>
        <w:rPr>
          <w:rFonts w:ascii="仿宋_GB2312" w:eastAsia="仿宋_GB2312" w:cs="仿宋" w:hint="eastAsia"/>
          <w:b w:val="0"/>
          <w:i w:val="0"/>
          <w:caps w:val="0"/>
          <w:smallCaps w:val="0"/>
          <w:color w:val="000000"/>
          <w:spacing w:val="0"/>
          <w:w w:val="100"/>
          <w:sz w:val="32"/>
          <w:szCs w:val="32"/>
          <w:lang w:val="en-US" w:eastAsia="zh-CN"/>
        </w:rPr>
        <w:t>将在市财政局网站上进行信息公开，接受社会监督。</w:t>
      </w:r>
    </w:p>
    <w:p>
      <w:pPr>
        <w:adjustRightInd w:val="0"/>
        <w:snapToGrid w:val="0"/>
        <w:spacing w:line="600" w:lineRule="exact"/>
        <w:ind w:firstLineChars="200" w:firstLine="640"/>
        <w:rPr>
          <w:rFonts w:ascii="仿宋" w:eastAsia="仿宋" w:cs="仿宋"/>
          <w:b w:val="0"/>
          <w:i w:val="0"/>
          <w:caps w:val="0"/>
          <w:smallCaps w:val="0"/>
          <w:color w:val="000000"/>
          <w:spacing w:val="0"/>
          <w:w w:val="100"/>
          <w:sz w:val="32"/>
          <w:szCs w:val="32"/>
          <w:lang w:val="en-US" w:eastAsia="zh-CN"/>
        </w:rPr>
      </w:pPr>
      <w:r>
        <w:rPr>
          <w:rFonts w:eastAsia="黑体" w:hint="eastAsia"/>
          <w:b w:val="0"/>
          <w:i w:val="0"/>
          <w:caps w:val="0"/>
          <w:smallCaps w:val="0"/>
          <w:color w:val="000000"/>
          <w:spacing w:val="0"/>
          <w:w w:val="100"/>
          <w:sz w:val="32"/>
          <w:szCs w:val="32"/>
          <w:lang w:val="en-US" w:eastAsia="zh-CN"/>
        </w:rPr>
        <w:t>十、</w:t>
      </w:r>
      <w:r>
        <w:rPr>
          <w:rFonts w:eastAsia="黑体"/>
          <w:b w:val="0"/>
          <w:i w:val="0"/>
          <w:caps w:val="0"/>
          <w:smallCaps w:val="0"/>
          <w:color w:val="000000"/>
          <w:spacing w:val="0"/>
          <w:w w:val="100"/>
          <w:sz w:val="32"/>
          <w:szCs w:val="32"/>
        </w:rPr>
        <w:t>其他需要说明的情况</w:t>
      </w:r>
    </w:p>
    <w:p>
      <w:pPr>
        <w:adjustRightInd w:val="0"/>
        <w:snapToGrid w:val="0"/>
        <w:spacing w:line="600" w:lineRule="exact"/>
        <w:ind w:firstLineChars="200" w:firstLine="640"/>
        <w:rPr>
          <w:rFonts w:eastAsia="黑体"/>
          <w:b w:val="0"/>
          <w:i w:val="0"/>
          <w:caps w:val="0"/>
          <w:smallCaps w:val="0"/>
          <w:color w:val="000000"/>
          <w:spacing w:val="0"/>
          <w:w w:val="100"/>
          <w:sz w:val="32"/>
          <w:szCs w:val="32"/>
          <w:lang w:val="en-US" w:eastAsia="zh-CN"/>
        </w:rPr>
      </w:pPr>
      <w:r>
        <w:rPr>
          <w:rFonts w:ascii="仿宋_GB2312" w:eastAsia="仿宋_GB2312" w:cs="仿宋" w:hint="eastAsia"/>
          <w:b w:val="0"/>
          <w:i w:val="0"/>
          <w:caps w:val="0"/>
          <w:smallCaps w:val="0"/>
          <w:color w:val="000000"/>
          <w:spacing w:val="0"/>
          <w:w w:val="100"/>
          <w:sz w:val="32"/>
          <w:szCs w:val="32"/>
          <w:lang w:val="en-US" w:eastAsia="zh-CN"/>
        </w:rPr>
        <w:t>无</w:t>
      </w:r>
    </w:p>
    <w:p>
      <w:pPr>
        <w:adjustRightInd w:val="0"/>
        <w:snapToGrid w:val="0"/>
        <w:spacing w:line="600" w:lineRule="exact"/>
        <w:ind w:firstLineChars="200" w:firstLine="640"/>
        <w:rPr>
          <w:rFonts w:eastAsia="黑体"/>
          <w:b w:val="0"/>
          <w:i w:val="0"/>
          <w:caps w:val="0"/>
          <w:smallCaps w:val="0"/>
          <w:color w:val="000000"/>
          <w:spacing w:val="0"/>
          <w:w w:val="100"/>
          <w:sz w:val="32"/>
          <w:szCs w:val="32"/>
          <w:lang w:val="en-US" w:eastAsia="zh-CN"/>
        </w:rPr>
      </w:pPr>
    </w:p>
    <w:p>
      <w:pPr>
        <w:adjustRightInd w:val="0"/>
        <w:snapToGrid w:val="0"/>
        <w:spacing w:line="600" w:lineRule="exact"/>
        <w:ind w:firstLineChars="200" w:firstLine="640"/>
        <w:rPr>
          <w:rFonts w:ascii="仿宋_GB2312" w:eastAsia="仿宋_GB2312" w:hint="eastAsia"/>
          <w:color w:val="000000"/>
          <w:sz w:val="32"/>
          <w:szCs w:val="32"/>
        </w:rPr>
      </w:pPr>
      <w:r>
        <w:rPr>
          <w:rFonts w:eastAsia="黑体" w:hint="eastAsia"/>
          <w:b w:val="0"/>
          <w:i w:val="0"/>
          <w:caps w:val="0"/>
          <w:smallCaps w:val="0"/>
          <w:color w:val="000000"/>
          <w:spacing w:val="0"/>
          <w:w w:val="100"/>
          <w:sz w:val="32"/>
          <w:szCs w:val="32"/>
          <w:lang w:val="en-US" w:eastAsia="zh-CN"/>
        </w:rPr>
        <w:t>附件：</w:t>
      </w:r>
      <w:r>
        <w:rPr>
          <w:rFonts w:eastAsia="仿宋_GB2312"/>
          <w:b w:val="0"/>
          <w:i w:val="0"/>
          <w:caps w:val="0"/>
          <w:smallCaps w:val="0"/>
          <w:color w:val="000000"/>
          <w:spacing w:val="0"/>
          <w:w w:val="100"/>
          <w:sz w:val="32"/>
          <w:szCs w:val="32"/>
          <w:lang w:val="en-US" w:eastAsia="zh-CN"/>
        </w:rPr>
        <w:t>1.</w:t>
      </w:r>
      <w:r>
        <w:rPr>
          <w:rFonts w:eastAsia="仿宋_GB2312"/>
          <w:b w:val="0"/>
          <w:i w:val="0"/>
          <w:caps w:val="0"/>
          <w:smallCaps w:val="0"/>
          <w:color w:val="000000"/>
          <w:spacing w:val="0"/>
          <w:w w:val="100"/>
          <w:kern w:val="0"/>
          <w:sz w:val="32"/>
          <w:szCs w:val="32"/>
        </w:rPr>
        <w:t>部门整体支出绩效评价共性指标</w:t>
      </w:r>
    </w:p>
    <w:p>
      <w:pPr>
        <w:keepLines w:val="0"/>
        <w:widowControl w:val="0"/>
        <w:snapToGrid/>
        <w:spacing w:before="0" w:after="0" w:line="600" w:lineRule="exact"/>
        <w:ind w:firstLineChars="500" w:firstLine="1600"/>
        <w:jc w:val="both"/>
        <w:textAlignment w:val="baseline"/>
        <w:rPr>
          <w:rFonts w:eastAsia="方正小标宋简体" w:hint="eastAsia"/>
          <w:b w:val="0"/>
          <w:i w:val="0"/>
          <w:caps w:val="0"/>
          <w:smallCaps w:val="0"/>
          <w:color w:val="000000"/>
          <w:spacing w:val="0"/>
          <w:w w:val="100"/>
          <w:kern w:val="0"/>
          <w:sz w:val="32"/>
          <w:szCs w:val="32"/>
          <w:lang w:val="en-US" w:eastAsia="zh-CN"/>
        </w:rPr>
      </w:pPr>
      <w:r>
        <w:rPr>
          <w:rFonts w:eastAsia="仿宋_GB2312"/>
          <w:b w:val="0"/>
          <w:i w:val="0"/>
          <w:caps w:val="0"/>
          <w:smallCaps w:val="0"/>
          <w:color w:val="000000"/>
          <w:spacing w:val="0"/>
          <w:w w:val="100"/>
          <w:sz w:val="32"/>
          <w:szCs w:val="32"/>
          <w:lang w:val="en-US" w:eastAsia="zh-CN"/>
        </w:rPr>
        <w:t>2.</w:t>
      </w:r>
      <w:r>
        <w:rPr>
          <w:rFonts w:eastAsia="仿宋_GB2312"/>
          <w:b w:val="0"/>
          <w:i w:val="0"/>
          <w:caps w:val="0"/>
          <w:smallCaps w:val="0"/>
          <w:color w:val="000000"/>
          <w:spacing w:val="0"/>
          <w:w w:val="100"/>
          <w:kern w:val="0"/>
          <w:sz w:val="32"/>
          <w:szCs w:val="32"/>
        </w:rPr>
        <w:t>部门整体支出绩效评价基础数据表</w:t>
      </w:r>
    </w:p>
    <w:p>
      <w:pPr>
        <w:snapToGrid/>
        <w:spacing w:before="0" w:beforeAutospacing="0" w:after="0" w:afterAutospacing="0" w:line="240" w:lineRule="auto"/>
        <w:ind w:leftChars="-405" w:left="-850" w:firstLineChars="200" w:firstLine="640"/>
        <w:jc w:val="left"/>
        <w:textAlignment w:val="baseline"/>
        <w:rPr>
          <w:rFonts w:eastAsia="方正小标宋简体" w:hint="eastAsia"/>
          <w:b w:val="0"/>
          <w:i w:val="0"/>
          <w:caps w:val="0"/>
          <w:smallCaps w:val="0"/>
          <w:color w:val="000000"/>
          <w:spacing w:val="0"/>
          <w:w w:val="100"/>
          <w:kern w:val="0"/>
          <w:sz w:val="32"/>
          <w:szCs w:val="32"/>
          <w:lang w:val="en-US" w:eastAsia="zh-CN"/>
        </w:rPr>
      </w:pPr>
    </w:p>
    <w:p>
      <w:pPr>
        <w:pStyle w:val="15"/>
        <w:rPr>
          <w:color w:val="000000"/>
          <w:lang w:val="en-US" w:eastAsia="zh-CN"/>
        </w:rPr>
      </w:pPr>
    </w:p>
    <w:p>
      <w:pPr>
        <w:pStyle w:val="15"/>
        <w:rPr>
          <w:color w:val="000000"/>
          <w:lang w:val="en-US" w:eastAsia="zh-CN"/>
        </w:rPr>
      </w:pPr>
    </w:p>
    <w:p>
      <w:pPr>
        <w:pStyle w:val="15"/>
        <w:rPr>
          <w:color w:val="000000"/>
          <w:lang w:val="en-US" w:eastAsia="zh-CN"/>
        </w:rPr>
      </w:pPr>
    </w:p>
    <w:p>
      <w:pPr>
        <w:pStyle w:val="15"/>
        <w:rPr>
          <w:color w:val="000000"/>
          <w:lang w:val="en-US" w:eastAsia="zh-CN"/>
        </w:rPr>
      </w:pPr>
    </w:p>
    <w:p>
      <w:pPr>
        <w:pStyle w:val="15"/>
        <w:rPr>
          <w:color w:val="000000"/>
          <w:lang w:val="en-US" w:eastAsia="zh-CN"/>
        </w:rPr>
      </w:pPr>
    </w:p>
    <w:p>
      <w:pPr>
        <w:pStyle w:val="15"/>
        <w:rPr>
          <w:color w:val="000000"/>
          <w:lang w:val="en-US" w:eastAsia="zh-CN"/>
        </w:rPr>
      </w:pPr>
    </w:p>
    <w:p>
      <w:pPr>
        <w:pStyle w:val="15"/>
        <w:rPr>
          <w:color w:val="000000"/>
          <w:lang w:val="en-US" w:eastAsia="zh-CN"/>
        </w:rPr>
      </w:pPr>
    </w:p>
    <w:p>
      <w:pPr>
        <w:pStyle w:val="15"/>
        <w:rPr>
          <w:color w:val="000000"/>
          <w:lang w:val="en-US" w:eastAsia="zh-CN"/>
        </w:rPr>
      </w:pPr>
    </w:p>
    <w:p>
      <w:pPr>
        <w:pStyle w:val="15"/>
        <w:rPr>
          <w:color w:val="000000"/>
          <w:lang w:val="en-US" w:eastAsia="zh-CN"/>
        </w:rPr>
      </w:pPr>
    </w:p>
    <w:p>
      <w:pPr>
        <w:pStyle w:val="15"/>
        <w:rPr>
          <w:color w:val="000000"/>
          <w:lang w:val="en-US" w:eastAsia="zh-CN"/>
        </w:rPr>
      </w:pPr>
    </w:p>
    <w:p>
      <w:pPr>
        <w:pStyle w:val="15"/>
        <w:rPr>
          <w:color w:val="000000"/>
          <w:lang w:val="en-US" w:eastAsia="zh-CN"/>
        </w:rPr>
      </w:pPr>
    </w:p>
    <w:p>
      <w:pPr>
        <w:pStyle w:val="15"/>
        <w:rPr>
          <w:color w:val="000000"/>
          <w:lang w:val="en-US" w:eastAsia="zh-CN"/>
        </w:rPr>
      </w:pPr>
    </w:p>
    <w:p>
      <w:pPr>
        <w:pStyle w:val="15"/>
        <w:rPr>
          <w:color w:val="000000"/>
          <w:lang w:val="en-US" w:eastAsia="zh-CN"/>
        </w:rPr>
      </w:pPr>
    </w:p>
    <w:p>
      <w:pPr>
        <w:pStyle w:val="15"/>
        <w:rPr>
          <w:color w:val="000000"/>
          <w:lang w:val="en-US" w:eastAsia="zh-CN"/>
        </w:rPr>
      </w:pPr>
    </w:p>
    <w:p>
      <w:pPr>
        <w:snapToGrid/>
        <w:spacing w:before="0" w:beforeAutospacing="0" w:after="0" w:afterAutospacing="0" w:line="240" w:lineRule="auto"/>
        <w:jc w:val="left"/>
        <w:textAlignment w:val="baseline"/>
        <w:rPr>
          <w:rFonts w:ascii="黑体" w:eastAsia="黑体" w:hint="eastAsia"/>
          <w:b w:val="0"/>
          <w:i w:val="0"/>
          <w:caps w:val="0"/>
          <w:smallCaps w:val="0"/>
          <w:color w:val="000000"/>
          <w:spacing w:val="0"/>
          <w:w w:val="100"/>
          <w:kern w:val="0"/>
          <w:sz w:val="32"/>
          <w:szCs w:val="32"/>
          <w:lang w:val="en-US" w:eastAsia="zh-CN"/>
        </w:rPr>
      </w:pPr>
      <w:r>
        <w:rPr>
          <w:rFonts w:ascii="黑体" w:eastAsia="黑体" w:hint="eastAsia"/>
          <w:b w:val="0"/>
          <w:i w:val="0"/>
          <w:caps w:val="0"/>
          <w:smallCaps w:val="0"/>
          <w:color w:val="000000"/>
          <w:spacing w:val="0"/>
          <w:w w:val="100"/>
          <w:kern w:val="0"/>
          <w:sz w:val="32"/>
          <w:szCs w:val="32"/>
          <w:lang w:val="en-US" w:eastAsia="zh-CN"/>
        </w:rPr>
        <w:t>附件1</w:t>
      </w:r>
    </w:p>
    <w:p>
      <w:pPr>
        <w:snapToGrid/>
        <w:spacing w:before="0" w:beforeAutospacing="0" w:after="0" w:afterAutospacing="0" w:line="240" w:lineRule="auto"/>
        <w:ind w:leftChars="-405" w:left="-850" w:firstLineChars="200" w:firstLine="880"/>
        <w:jc w:val="center"/>
        <w:textAlignment w:val="baseline"/>
        <w:rPr>
          <w:rFonts w:eastAsia="方正小标宋简体"/>
          <w:b w:val="0"/>
          <w:i w:val="0"/>
          <w:caps w:val="0"/>
          <w:smallCaps w:val="0"/>
          <w:color w:val="000000"/>
          <w:spacing w:val="0"/>
          <w:w w:val="100"/>
          <w:kern w:val="0"/>
          <w:sz w:val="44"/>
          <w:szCs w:val="44"/>
        </w:rPr>
      </w:pPr>
      <w:r>
        <w:rPr>
          <w:rFonts w:eastAsia="方正小标宋简体"/>
          <w:b w:val="0"/>
          <w:i w:val="0"/>
          <w:caps w:val="0"/>
          <w:smallCaps w:val="0"/>
          <w:color w:val="000000"/>
          <w:spacing w:val="0"/>
          <w:w w:val="100"/>
          <w:kern w:val="0"/>
          <w:sz w:val="44"/>
          <w:szCs w:val="44"/>
        </w:rPr>
        <w:t>部门整体支出绩效评价共性指标</w:t>
      </w:r>
    </w:p>
    <w:p>
      <w:pPr>
        <w:snapToGrid/>
        <w:spacing w:before="0" w:beforeAutospacing="0" w:after="0" w:afterAutospacing="0" w:line="240" w:lineRule="auto"/>
        <w:jc w:val="both"/>
        <w:textAlignment w:val="baseline"/>
        <w:rPr>
          <w:b w:val="0"/>
          <w:i w:val="0"/>
          <w:caps w:val="0"/>
          <w:smallCaps w:val="0"/>
          <w:color w:val="000000"/>
          <w:w w:val="100"/>
          <w:sz w:val="20"/>
          <w:szCs w:val="21"/>
        </w:rPr>
      </w:pPr>
      <w:r>
        <w:rPr>
          <w:b w:val="0"/>
          <w:i w:val="0"/>
          <w:caps w:val="0"/>
          <w:smallCaps w:val="0"/>
          <w:color w:val="000000"/>
          <w:spacing w:val="0"/>
          <w:w w:val="100"/>
          <w:kern w:val="0"/>
          <w:sz w:val="21"/>
          <w:szCs w:val="21"/>
        </w:rPr>
        <w:t>填报单位：</w:t>
      </w:r>
      <w:r>
        <w:rPr>
          <w:rFonts w:ascii="方正小标宋简体" w:eastAsia="方正小标宋简体"/>
          <w:b w:val="0"/>
          <w:bCs w:val="0"/>
          <w:color w:val="000000"/>
          <w:sz w:val="21"/>
          <w:szCs w:val="21"/>
        </w:rPr>
        <w:t>中共张家界市委宣传部</w:t>
      </w:r>
    </w:p>
    <w:tbl>
      <w:tblPr>
        <w:jc w:val="center"/>
        <w:tblW w:w="9651"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775"/>
        <w:gridCol w:w="770"/>
        <w:gridCol w:w="707"/>
        <w:gridCol w:w="477"/>
        <w:gridCol w:w="2207"/>
        <w:gridCol w:w="2967"/>
        <w:gridCol w:w="1134"/>
        <w:gridCol w:w="614"/>
      </w:tblGrid>
      <w:tr>
        <w:trPr>
          <w:trHeight w:val="312"/>
        </w:trPr>
        <w:tc>
          <w:tcPr>
            <w:tcW w:w="775" w:type="dxa"/>
            <w:vMerge w:val="restart"/>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rFonts w:eastAsia="仿宋_GB2312"/>
                <w:b w:val="0"/>
                <w:i w:val="0"/>
                <w:caps w:val="0"/>
                <w:smallCaps w:val="0"/>
                <w:color w:val="000000"/>
                <w:spacing w:val="0"/>
                <w:w w:val="100"/>
                <w:kern w:val="0"/>
                <w:sz w:val="20"/>
              </w:rPr>
            </w:pPr>
            <w:r>
              <w:rPr>
                <w:rFonts w:eastAsia="仿宋_GB2312"/>
                <w:b w:val="0"/>
                <w:i w:val="0"/>
                <w:caps w:val="0"/>
                <w:smallCaps w:val="0"/>
                <w:color w:val="000000"/>
                <w:spacing w:val="0"/>
                <w:w w:val="100"/>
                <w:kern w:val="0"/>
                <w:sz w:val="20"/>
              </w:rPr>
              <w:t>一级指标</w:t>
            </w:r>
          </w:p>
        </w:tc>
        <w:tc>
          <w:tcPr>
            <w:tcW w:w="770" w:type="dxa"/>
            <w:vMerge w:val="restart"/>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0"/>
              </w:rPr>
            </w:pPr>
            <w:r>
              <w:rPr>
                <w:rFonts w:eastAsia="仿宋_GB2312"/>
                <w:b w:val="0"/>
                <w:i w:val="0"/>
                <w:caps w:val="0"/>
                <w:smallCaps w:val="0"/>
                <w:color w:val="000000"/>
                <w:spacing w:val="0"/>
                <w:w w:val="100"/>
                <w:kern w:val="0"/>
                <w:sz w:val="20"/>
              </w:rPr>
              <w:t>二级指标</w:t>
            </w:r>
          </w:p>
        </w:tc>
        <w:tc>
          <w:tcPr>
            <w:tcW w:w="707" w:type="dxa"/>
            <w:vMerge w:val="restart"/>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18"/>
                <w:szCs w:val="18"/>
              </w:rPr>
            </w:pPr>
            <w:r>
              <w:rPr>
                <w:rFonts w:eastAsia="仿宋_GB2312"/>
                <w:b w:val="0"/>
                <w:i w:val="0"/>
                <w:caps w:val="0"/>
                <w:smallCaps w:val="0"/>
                <w:color w:val="000000"/>
                <w:spacing w:val="0"/>
                <w:w w:val="100"/>
                <w:kern w:val="0"/>
                <w:sz w:val="18"/>
                <w:szCs w:val="18"/>
              </w:rPr>
              <w:t>三级指标</w:t>
            </w:r>
          </w:p>
        </w:tc>
        <w:tc>
          <w:tcPr>
            <w:tcW w:w="477" w:type="dxa"/>
            <w:vMerge w:val="restart"/>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0"/>
              </w:rPr>
            </w:pPr>
            <w:r>
              <w:rPr>
                <w:rFonts w:eastAsia="仿宋_GB2312"/>
                <w:b w:val="0"/>
                <w:i w:val="0"/>
                <w:caps w:val="0"/>
                <w:smallCaps w:val="0"/>
                <w:color w:val="000000"/>
                <w:spacing w:val="0"/>
                <w:w w:val="100"/>
                <w:kern w:val="0"/>
                <w:sz w:val="20"/>
              </w:rPr>
              <w:t>分值</w:t>
            </w:r>
          </w:p>
        </w:tc>
        <w:tc>
          <w:tcPr>
            <w:tcW w:w="2207" w:type="dxa"/>
            <w:vMerge w:val="restart"/>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0"/>
              </w:rPr>
            </w:pPr>
            <w:r>
              <w:rPr>
                <w:rFonts w:eastAsia="仿宋_GB2312"/>
                <w:b w:val="0"/>
                <w:i w:val="0"/>
                <w:caps w:val="0"/>
                <w:smallCaps w:val="0"/>
                <w:color w:val="000000"/>
                <w:spacing w:val="0"/>
                <w:w w:val="100"/>
                <w:kern w:val="0"/>
                <w:sz w:val="20"/>
              </w:rPr>
              <w:t>指标解释</w:t>
            </w:r>
          </w:p>
        </w:tc>
        <w:tc>
          <w:tcPr>
            <w:tcW w:w="2967" w:type="dxa"/>
            <w:vMerge w:val="restart"/>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0"/>
              </w:rPr>
            </w:pPr>
            <w:r>
              <w:rPr>
                <w:rFonts w:eastAsia="仿宋_GB2312"/>
                <w:b w:val="0"/>
                <w:i w:val="0"/>
                <w:caps w:val="0"/>
                <w:smallCaps w:val="0"/>
                <w:color w:val="000000"/>
                <w:spacing w:val="0"/>
                <w:w w:val="100"/>
                <w:kern w:val="0"/>
                <w:sz w:val="20"/>
              </w:rPr>
              <w:t>指标说明</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0"/>
              </w:rPr>
            </w:pPr>
            <w:r>
              <w:rPr>
                <w:rFonts w:eastAsia="仿宋_GB2312"/>
                <w:b w:val="0"/>
                <w:i w:val="0"/>
                <w:caps w:val="0"/>
                <w:smallCaps w:val="0"/>
                <w:color w:val="000000"/>
                <w:spacing w:val="0"/>
                <w:w w:val="100"/>
                <w:kern w:val="0"/>
                <w:sz w:val="20"/>
              </w:rPr>
              <w:t>评价标准</w:t>
            </w:r>
          </w:p>
        </w:tc>
        <w:tc>
          <w:tcPr>
            <w:tcW w:w="614" w:type="dxa"/>
            <w:vMerge w:val="restart"/>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0"/>
              </w:rPr>
            </w:pPr>
            <w:r>
              <w:rPr>
                <w:rFonts w:eastAsia="仿宋_GB2312"/>
                <w:b w:val="0"/>
                <w:i w:val="0"/>
                <w:caps w:val="0"/>
                <w:smallCaps w:val="0"/>
                <w:color w:val="000000"/>
                <w:spacing w:val="0"/>
                <w:w w:val="100"/>
                <w:kern w:val="0"/>
                <w:sz w:val="20"/>
              </w:rPr>
              <w:t>得分</w:t>
            </w:r>
          </w:p>
        </w:tc>
      </w:tr>
      <w:tr>
        <w:trPr>
          <w:trHeight w:val="312"/>
        </w:trPr>
        <w:tc>
          <w:tcPr>
            <w:tcW w:w="775" w:type="dxa"/>
            <w:vMerge/>
            <w:tcBorders>
              <w:top w:val="single" w:sz="4" w:space="0" w:color="auto"/>
              <w:left w:val="single" w:sz="4" w:space="0" w:color="auto"/>
              <w:bottom w:val="single" w:sz="4" w:space="0" w:color="auto"/>
              <w:right w:val="single" w:sz="4" w:space="0" w:color="auto"/>
            </w:tcBorders>
            <w:vAlign w:val="center"/>
          </w:tcPr>
          <w:p/>
        </w:tc>
        <w:tc>
          <w:tcPr>
            <w:tcW w:w="770" w:type="dxa"/>
            <w:vMerge/>
            <w:tcBorders>
              <w:top w:val="single" w:sz="4" w:space="0" w:color="auto"/>
              <w:left w:val="single" w:sz="4" w:space="0" w:color="auto"/>
              <w:bottom w:val="single" w:sz="4" w:space="0" w:color="auto"/>
              <w:right w:val="single" w:sz="4" w:space="0" w:color="auto"/>
            </w:tcBorders>
            <w:vAlign w:val="center"/>
          </w:tcPr>
          <w:p/>
        </w:tc>
        <w:tc>
          <w:tcPr>
            <w:tcW w:w="707" w:type="dxa"/>
            <w:vMerge/>
            <w:tcBorders>
              <w:top w:val="single" w:sz="4" w:space="0" w:color="auto"/>
              <w:left w:val="single" w:sz="4" w:space="0" w:color="auto"/>
              <w:bottom w:val="single" w:sz="4" w:space="0" w:color="auto"/>
              <w:right w:val="single" w:sz="4" w:space="0" w:color="auto"/>
            </w:tcBorders>
            <w:vAlign w:val="center"/>
          </w:tcPr>
          <w:p/>
        </w:tc>
        <w:tc>
          <w:tcPr>
            <w:tcW w:w="477" w:type="dxa"/>
            <w:vMerge/>
            <w:tcBorders>
              <w:top w:val="single" w:sz="4" w:space="0" w:color="auto"/>
              <w:left w:val="single" w:sz="4" w:space="0" w:color="auto"/>
              <w:bottom w:val="single" w:sz="4" w:space="0" w:color="auto"/>
              <w:right w:val="single" w:sz="4" w:space="0" w:color="auto"/>
            </w:tcBorders>
            <w:vAlign w:val="center"/>
          </w:tcPr>
          <w:p/>
        </w:tc>
        <w:tc>
          <w:tcPr>
            <w:tcW w:w="2207" w:type="dxa"/>
            <w:vMerge/>
            <w:tcBorders>
              <w:top w:val="single" w:sz="4" w:space="0" w:color="auto"/>
              <w:left w:val="single" w:sz="4" w:space="0" w:color="auto"/>
              <w:bottom w:val="single" w:sz="4" w:space="0" w:color="auto"/>
              <w:right w:val="single" w:sz="4" w:space="0" w:color="auto"/>
            </w:tcBorders>
            <w:vAlign w:val="center"/>
          </w:tcPr>
          <w:p/>
        </w:tc>
        <w:tc>
          <w:tcPr>
            <w:tcW w:w="2967" w:type="dxa"/>
            <w:vMerge/>
            <w:tcBorders>
              <w:top w:val="single" w:sz="4" w:space="0" w:color="auto"/>
              <w:left w:val="single" w:sz="4" w:space="0" w:color="auto"/>
              <w:bottom w:val="single" w:sz="4" w:space="0" w:color="auto"/>
              <w:right w:val="single" w:sz="4" w:space="0" w:color="auto"/>
            </w:tcBorders>
            <w:vAlign w:val="center"/>
          </w:tcPr>
          <w:p/>
        </w:tc>
        <w:tc>
          <w:tcPr>
            <w:tcW w:w="1134" w:type="dxa"/>
            <w:vMerge/>
            <w:tcBorders>
              <w:top w:val="single" w:sz="4" w:space="0" w:color="auto"/>
              <w:left w:val="single" w:sz="4" w:space="0" w:color="auto"/>
              <w:bottom w:val="single" w:sz="4" w:space="0" w:color="auto"/>
              <w:right w:val="single" w:sz="4" w:space="0" w:color="auto"/>
            </w:tcBorders>
            <w:vAlign w:val="center"/>
          </w:tcPr>
          <w:p/>
        </w:tc>
        <w:tc>
          <w:tcPr>
            <w:tcW w:w="614" w:type="dxa"/>
            <w:vMerge/>
            <w:tcBorders>
              <w:top w:val="single" w:sz="4" w:space="0" w:color="auto"/>
              <w:left w:val="single" w:sz="4" w:space="0" w:color="auto"/>
              <w:bottom w:val="single" w:sz="4" w:space="0" w:color="auto"/>
              <w:right w:val="single" w:sz="4" w:space="0" w:color="auto"/>
            </w:tcBorders>
            <w:vAlign w:val="center"/>
          </w:tcPr>
          <w:p/>
        </w:tc>
      </w:tr>
      <w:tr>
        <w:trPr>
          <w:trHeight w:val="1350"/>
        </w:trPr>
        <w:tc>
          <w:tcPr>
            <w:tcW w:w="775" w:type="dxa"/>
            <w:vMerge w:val="restart"/>
            <w:tcBorders>
              <w:top w:val="nil"/>
              <w:left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投入</w:t>
            </w:r>
          </w:p>
          <w:p>
            <w:pPr>
              <w:widowControl/>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（10分）</w:t>
            </w:r>
          </w:p>
        </w:tc>
        <w:tc>
          <w:tcPr>
            <w:tcW w:w="770" w:type="dxa"/>
            <w:vMerge w:val="restart"/>
            <w:tcBorders>
              <w:top w:val="nil"/>
              <w:left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目标</w:t>
            </w:r>
          </w:p>
          <w:p>
            <w:pPr>
              <w:widowControl/>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设定</w:t>
            </w:r>
          </w:p>
          <w:p>
            <w:pPr>
              <w:widowControl/>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（4分）</w:t>
            </w:r>
          </w:p>
        </w:tc>
        <w:tc>
          <w:tcPr>
            <w:tcW w:w="707"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绩效目标合理性</w:t>
            </w:r>
          </w:p>
        </w:tc>
        <w:tc>
          <w:tcPr>
            <w:tcW w:w="477"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2</w:t>
            </w:r>
          </w:p>
        </w:tc>
        <w:tc>
          <w:tcPr>
            <w:tcW w:w="2207" w:type="dxa"/>
            <w:tcBorders>
              <w:top w:val="nil"/>
              <w:left w:val="single" w:sz="4" w:space="0" w:color="auto"/>
              <w:bottom w:val="single" w:sz="4" w:space="0" w:color="auto"/>
              <w:right w:val="nil"/>
            </w:tcBorders>
            <w:vAlign w:val="center"/>
          </w:tcPr>
          <w:p>
            <w:pPr>
              <w:widowControl/>
              <w:snapToGrid/>
              <w:spacing w:before="0" w:beforeAutospacing="0" w:after="0" w:afterAutospacing="0" w:line="240" w:lineRule="exact"/>
              <w:jc w:val="both"/>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部门（单位）所设立的整体绩效目标依据是否充分，是否符合客观实际，用以反映和考核整体绩效目标与部门履职、年度工作任务的相符性情况。</w:t>
            </w:r>
          </w:p>
        </w:tc>
        <w:tc>
          <w:tcPr>
            <w:tcW w:w="2967" w:type="dxa"/>
            <w:tcBorders>
              <w:top w:val="nil"/>
              <w:left w:val="single" w:sz="4" w:space="0" w:color="auto"/>
              <w:bottom w:val="single" w:sz="4" w:space="0" w:color="auto"/>
              <w:right w:val="nil"/>
            </w:tcBorders>
            <w:vAlign w:val="center"/>
          </w:tcPr>
          <w:p>
            <w:pPr>
              <w:snapToGrid/>
              <w:spacing w:before="0" w:beforeAutospacing="0" w:after="0" w:afterAutospacing="0" w:line="240" w:lineRule="exact"/>
              <w:jc w:val="both"/>
              <w:textAlignment w:val="baseline"/>
              <w:rPr>
                <w:b w:val="0"/>
                <w:i w:val="0"/>
                <w:caps w:val="0"/>
                <w:smallCaps w:val="0"/>
                <w:color w:val="000000"/>
                <w:spacing w:val="0"/>
                <w:w w:val="100"/>
                <w:sz w:val="20"/>
              </w:rPr>
            </w:pPr>
            <w:r>
              <w:rPr>
                <w:b w:val="0"/>
                <w:i w:val="0"/>
                <w:caps w:val="0"/>
                <w:smallCaps w:val="0"/>
                <w:color w:val="000000"/>
                <w:spacing w:val="0"/>
                <w:w w:val="100"/>
                <w:kern w:val="0"/>
                <w:sz w:val="15"/>
                <w:szCs w:val="15"/>
              </w:rPr>
              <w:t>评价要点：①是否符合国家法律法规、国民经济和社会发展总体规划；②是否符合部门“三定”方案确定的职责；③是否符合部门制定的中长期实施规划。</w:t>
            </w:r>
          </w:p>
          <w:p>
            <w:pPr>
              <w:widowControl/>
              <w:snapToGrid/>
              <w:spacing w:before="0" w:beforeAutospacing="0" w:after="0" w:afterAutospacing="0" w:line="240" w:lineRule="auto"/>
              <w:jc w:val="both"/>
              <w:textAlignment w:val="baseline"/>
              <w:rPr>
                <w:b w:val="0"/>
                <w:i w:val="0"/>
                <w:caps w:val="0"/>
                <w:smallCaps w:val="0"/>
                <w:color w:val="000000"/>
                <w:spacing w:val="0"/>
                <w:w w:val="100"/>
                <w:kern w:val="0"/>
                <w:sz w:val="15"/>
                <w:szCs w:val="15"/>
              </w:rPr>
            </w:pPr>
          </w:p>
        </w:tc>
        <w:tc>
          <w:tcPr>
            <w:tcW w:w="1134"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both"/>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合理：2分；较合理：1分；不合理：0分</w:t>
            </w:r>
          </w:p>
        </w:tc>
        <w:tc>
          <w:tcPr>
            <w:tcW w:w="614" w:type="dxa"/>
            <w:tcBorders>
              <w:top w:val="nil"/>
              <w:left w:val="nil"/>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rFonts w:ascii="Times New Roman" w:eastAsia="宋体" w:cs="Times New Roman" w:hAnsi="Times New Roman" w:hint="eastAsia"/>
                <w:b w:val="0"/>
                <w:i w:val="0"/>
                <w:caps w:val="0"/>
                <w:smallCaps w:val="0"/>
                <w:color w:val="000000"/>
                <w:spacing w:val="0"/>
                <w:w w:val="100"/>
                <w:kern w:val="0"/>
                <w:sz w:val="15"/>
                <w:szCs w:val="15"/>
              </w:rPr>
              <w:t>2</w:t>
            </w:r>
          </w:p>
        </w:tc>
      </w:tr>
      <w:tr>
        <w:trPr>
          <w:trHeight w:val="1542"/>
        </w:trPr>
        <w:tc>
          <w:tcPr>
            <w:tcW w:w="775" w:type="dxa"/>
            <w:vMerge/>
            <w:tcBorders>
              <w:left w:val="single" w:sz="4" w:space="0" w:color="auto"/>
              <w:right w:val="single" w:sz="4" w:space="0" w:color="auto"/>
            </w:tcBorders>
            <w:vAlign w:val="center"/>
          </w:tcPr>
          <w:p/>
        </w:tc>
        <w:tc>
          <w:tcPr>
            <w:tcW w:w="770" w:type="dxa"/>
            <w:vMerge/>
            <w:tcBorders>
              <w:left w:val="single" w:sz="4" w:space="0" w:color="auto"/>
              <w:bottom w:val="single" w:sz="4" w:space="0" w:color="auto"/>
              <w:right w:val="single" w:sz="4" w:space="0" w:color="auto"/>
            </w:tcBorders>
            <w:vAlign w:val="center"/>
          </w:tcPr>
          <w:p/>
        </w:tc>
        <w:tc>
          <w:tcPr>
            <w:tcW w:w="707"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绩效目标明确性</w:t>
            </w:r>
          </w:p>
        </w:tc>
        <w:tc>
          <w:tcPr>
            <w:tcW w:w="477"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2</w:t>
            </w:r>
          </w:p>
        </w:tc>
        <w:tc>
          <w:tcPr>
            <w:tcW w:w="2207" w:type="dxa"/>
            <w:tcBorders>
              <w:top w:val="nil"/>
              <w:left w:val="single" w:sz="4" w:space="0" w:color="auto"/>
              <w:bottom w:val="single" w:sz="4" w:space="0" w:color="auto"/>
              <w:right w:val="nil"/>
            </w:tcBorders>
            <w:vAlign w:val="center"/>
          </w:tcPr>
          <w:p>
            <w:pPr>
              <w:snapToGrid/>
              <w:spacing w:before="0" w:beforeAutospacing="0" w:after="0" w:afterAutospacing="0" w:line="240" w:lineRule="exact"/>
              <w:jc w:val="both"/>
              <w:textAlignment w:val="baseline"/>
              <w:rPr>
                <w:b w:val="0"/>
                <w:i w:val="0"/>
                <w:caps w:val="0"/>
                <w:smallCaps w:val="0"/>
                <w:color w:val="000000"/>
                <w:spacing w:val="0"/>
                <w:w w:val="100"/>
                <w:sz w:val="20"/>
              </w:rPr>
            </w:pPr>
            <w:r>
              <w:rPr>
                <w:b w:val="0"/>
                <w:i w:val="0"/>
                <w:caps w:val="0"/>
                <w:smallCaps w:val="0"/>
                <w:color w:val="000000"/>
                <w:spacing w:val="0"/>
                <w:w w:val="100"/>
                <w:kern w:val="0"/>
                <w:sz w:val="15"/>
                <w:szCs w:val="15"/>
              </w:rPr>
              <w:t>部门（单位）依据整体绩效目标所设定的绩效指标是否清晰、细化、可衡量，用以反映和考核整体绩效目标的明细化情况。</w:t>
            </w:r>
          </w:p>
          <w:p>
            <w:pPr>
              <w:widowControl/>
              <w:snapToGrid/>
              <w:spacing w:before="0" w:beforeAutospacing="0" w:after="0" w:afterAutospacing="0" w:line="240" w:lineRule="auto"/>
              <w:jc w:val="both"/>
              <w:textAlignment w:val="baseline"/>
              <w:rPr>
                <w:b w:val="0"/>
                <w:i w:val="0"/>
                <w:caps w:val="0"/>
                <w:smallCaps w:val="0"/>
                <w:color w:val="000000"/>
                <w:spacing w:val="0"/>
                <w:w w:val="100"/>
                <w:kern w:val="0"/>
                <w:sz w:val="15"/>
                <w:szCs w:val="15"/>
              </w:rPr>
            </w:pPr>
          </w:p>
        </w:tc>
        <w:tc>
          <w:tcPr>
            <w:tcW w:w="2967" w:type="dxa"/>
            <w:tcBorders>
              <w:top w:val="nil"/>
              <w:left w:val="single" w:sz="4" w:space="0" w:color="auto"/>
              <w:bottom w:val="single" w:sz="4" w:space="0" w:color="auto"/>
              <w:right w:val="nil"/>
            </w:tcBorders>
            <w:vAlign w:val="center"/>
          </w:tcPr>
          <w:p>
            <w:pPr>
              <w:snapToGrid/>
              <w:spacing w:before="0" w:beforeAutospacing="0" w:after="0" w:afterAutospacing="0" w:line="240" w:lineRule="exact"/>
              <w:jc w:val="both"/>
              <w:textAlignment w:val="baseline"/>
              <w:rPr>
                <w:b w:val="0"/>
                <w:i w:val="0"/>
                <w:caps w:val="0"/>
                <w:smallCaps w:val="0"/>
                <w:color w:val="000000"/>
                <w:spacing w:val="0"/>
                <w:w w:val="100"/>
                <w:sz w:val="20"/>
              </w:rPr>
            </w:pPr>
            <w:r>
              <w:rPr>
                <w:b w:val="0"/>
                <w:i w:val="0"/>
                <w:caps w:val="0"/>
                <w:smallCaps w:val="0"/>
                <w:color w:val="000000"/>
                <w:spacing w:val="0"/>
                <w:w w:val="100"/>
                <w:kern w:val="0"/>
                <w:sz w:val="15"/>
                <w:szCs w:val="15"/>
              </w:rPr>
              <w:t>评价要点：①是否将部门整体的绩效目标细化分解为具体的工作任务；②是否通过清晰、可衡量的指标值予以体现；③是否与部门年度任务数或计划数相对应；④是否与本年度部门预算资金相匹配。</w:t>
            </w:r>
          </w:p>
          <w:p>
            <w:pPr>
              <w:widowControl/>
              <w:snapToGrid/>
              <w:spacing w:before="0" w:beforeAutospacing="0" w:after="0" w:afterAutospacing="0" w:line="240" w:lineRule="auto"/>
              <w:jc w:val="both"/>
              <w:textAlignment w:val="baseline"/>
              <w:rPr>
                <w:b w:val="0"/>
                <w:i w:val="0"/>
                <w:caps w:val="0"/>
                <w:smallCaps w:val="0"/>
                <w:color w:val="000000"/>
                <w:spacing w:val="0"/>
                <w:w w:val="100"/>
                <w:kern w:val="0"/>
                <w:sz w:val="15"/>
                <w:szCs w:val="15"/>
              </w:rPr>
            </w:pPr>
          </w:p>
        </w:tc>
        <w:tc>
          <w:tcPr>
            <w:tcW w:w="1134"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both"/>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明确：2分；较明确：1分；不明确：0分</w:t>
            </w:r>
          </w:p>
        </w:tc>
        <w:tc>
          <w:tcPr>
            <w:tcW w:w="614" w:type="dxa"/>
            <w:tcBorders>
              <w:top w:val="nil"/>
              <w:left w:val="nil"/>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rFonts w:ascii="Times New Roman" w:eastAsia="宋体" w:cs="Times New Roman" w:hAnsi="Times New Roman" w:hint="eastAsia"/>
                <w:b w:val="0"/>
                <w:i w:val="0"/>
                <w:caps w:val="0"/>
                <w:smallCaps w:val="0"/>
                <w:color w:val="000000"/>
                <w:spacing w:val="0"/>
                <w:w w:val="100"/>
                <w:kern w:val="0"/>
                <w:sz w:val="15"/>
                <w:szCs w:val="15"/>
              </w:rPr>
              <w:t>2</w:t>
            </w:r>
          </w:p>
        </w:tc>
      </w:tr>
      <w:tr>
        <w:trPr>
          <w:trHeight w:val="1482"/>
        </w:trPr>
        <w:tc>
          <w:tcPr>
            <w:tcW w:w="775" w:type="dxa"/>
            <w:vMerge/>
            <w:tcBorders>
              <w:left w:val="single" w:sz="4" w:space="0" w:color="auto"/>
              <w:right w:val="single" w:sz="4" w:space="0" w:color="auto"/>
            </w:tcBorders>
            <w:vAlign w:val="center"/>
          </w:tcPr>
          <w:p/>
        </w:tc>
        <w:tc>
          <w:tcPr>
            <w:tcW w:w="770" w:type="dxa"/>
            <w:vMerge w:val="restart"/>
            <w:tcBorders>
              <w:top w:val="nil"/>
              <w:left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预算</w:t>
            </w:r>
          </w:p>
          <w:p>
            <w:pPr>
              <w:widowControl/>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配置</w:t>
            </w:r>
          </w:p>
          <w:p>
            <w:pPr>
              <w:widowControl/>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（6分）</w:t>
            </w:r>
          </w:p>
        </w:tc>
        <w:tc>
          <w:tcPr>
            <w:tcW w:w="707"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在职人员控制率</w:t>
            </w:r>
          </w:p>
        </w:tc>
        <w:tc>
          <w:tcPr>
            <w:tcW w:w="477"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3</w:t>
            </w:r>
          </w:p>
        </w:tc>
        <w:tc>
          <w:tcPr>
            <w:tcW w:w="2207" w:type="dxa"/>
            <w:tcBorders>
              <w:top w:val="nil"/>
              <w:left w:val="single" w:sz="4" w:space="0" w:color="auto"/>
              <w:bottom w:val="single" w:sz="4" w:space="0" w:color="auto"/>
              <w:right w:val="nil"/>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部门（单位）本年度实际在职人员数与编制数的比率，用以反映和考核对人员成本的控制程度。</w:t>
            </w:r>
          </w:p>
        </w:tc>
        <w:tc>
          <w:tcPr>
            <w:tcW w:w="2967" w:type="dxa"/>
            <w:tcBorders>
              <w:top w:val="nil"/>
              <w:left w:val="single" w:sz="4" w:space="0" w:color="auto"/>
              <w:bottom w:val="single" w:sz="4" w:space="0" w:color="auto"/>
              <w:right w:val="nil"/>
            </w:tcBorders>
            <w:vAlign w:val="center"/>
          </w:tcPr>
          <w:p>
            <w:pPr>
              <w:widowControl/>
              <w:snapToGrid/>
              <w:spacing w:before="0" w:beforeAutospacing="0" w:after="0" w:afterAutospacing="0" w:line="240" w:lineRule="exact"/>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在职人员控制率=（在职人员数/编制数）×100%。在职人员数：部门（单位）实际在职人数，以财政局确定的部门决算编制口径为准。</w:t>
            </w:r>
          </w:p>
          <w:p>
            <w:pPr>
              <w:snapToGrid/>
              <w:spacing w:before="0" w:beforeAutospacing="0" w:after="0" w:afterAutospacing="0" w:line="240" w:lineRule="exact"/>
              <w:jc w:val="both"/>
              <w:textAlignment w:val="baseline"/>
              <w:rPr>
                <w:b w:val="0"/>
                <w:i w:val="0"/>
                <w:caps w:val="0"/>
                <w:smallCaps w:val="0"/>
                <w:color w:val="000000"/>
                <w:spacing w:val="0"/>
                <w:w w:val="100"/>
                <w:sz w:val="20"/>
              </w:rPr>
            </w:pPr>
            <w:r>
              <w:rPr>
                <w:b w:val="0"/>
                <w:i w:val="0"/>
                <w:caps w:val="0"/>
                <w:smallCaps w:val="0"/>
                <w:color w:val="000000"/>
                <w:spacing w:val="0"/>
                <w:w w:val="100"/>
                <w:kern w:val="0"/>
                <w:sz w:val="15"/>
                <w:szCs w:val="15"/>
              </w:rPr>
              <w:t>编制数：机构编制部门核定批复的部门（单位）的人员编制数。</w:t>
            </w:r>
          </w:p>
          <w:p>
            <w:pPr>
              <w:widowControl/>
              <w:snapToGrid/>
              <w:spacing w:before="0" w:beforeAutospacing="0" w:after="0" w:afterAutospacing="0" w:line="240" w:lineRule="exact"/>
              <w:jc w:val="left"/>
              <w:textAlignment w:val="baseline"/>
              <w:rPr>
                <w:b w:val="0"/>
                <w:i w:val="0"/>
                <w:caps w:val="0"/>
                <w:smallCaps w:val="0"/>
                <w:color w:val="000000"/>
                <w:spacing w:val="0"/>
                <w:w w:val="100"/>
                <w:kern w:val="0"/>
                <w:sz w:val="15"/>
                <w:szCs w:val="15"/>
              </w:rPr>
            </w:pPr>
          </w:p>
        </w:tc>
        <w:tc>
          <w:tcPr>
            <w:tcW w:w="1134" w:type="dxa"/>
            <w:tcBorders>
              <w:top w:val="nil"/>
              <w:left w:val="single" w:sz="4" w:space="0" w:color="auto"/>
              <w:bottom w:val="single" w:sz="4" w:space="0" w:color="auto"/>
              <w:right w:val="single" w:sz="4" w:space="0" w:color="auto"/>
            </w:tcBorders>
            <w:vAlign w:val="center"/>
          </w:tcPr>
          <w:p>
            <w:pPr>
              <w:snapToGrid/>
              <w:spacing w:before="0" w:beforeAutospacing="0" w:after="0" w:afterAutospacing="0" w:line="240" w:lineRule="exact"/>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以100%为标准。在职人员控制率≦100%，计3分；每超过一个百分点扣0.5分，扣完为止。</w:t>
            </w:r>
          </w:p>
        </w:tc>
        <w:tc>
          <w:tcPr>
            <w:tcW w:w="614" w:type="dxa"/>
            <w:tcBorders>
              <w:top w:val="nil"/>
              <w:left w:val="nil"/>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rFonts w:eastAsia="宋体"/>
                <w:b w:val="0"/>
                <w:i w:val="0"/>
                <w:caps w:val="0"/>
                <w:smallCaps w:val="0"/>
                <w:color w:val="000000"/>
                <w:spacing w:val="0"/>
                <w:w w:val="100"/>
                <w:kern w:val="0"/>
                <w:sz w:val="15"/>
                <w:szCs w:val="15"/>
                <w:lang w:val="en-US" w:eastAsia="zh-CN"/>
              </w:rPr>
            </w:pPr>
            <w:r>
              <w:rPr>
                <w:rFonts w:hint="eastAsia"/>
                <w:b w:val="0"/>
                <w:i w:val="0"/>
                <w:caps w:val="0"/>
                <w:smallCaps w:val="0"/>
                <w:color w:val="000000"/>
                <w:spacing w:val="0"/>
                <w:w w:val="100"/>
                <w:kern w:val="0"/>
                <w:sz w:val="15"/>
                <w:szCs w:val="15"/>
                <w:lang w:val="en-US" w:eastAsia="zh-CN"/>
              </w:rPr>
              <w:t>2.5</w:t>
            </w:r>
          </w:p>
        </w:tc>
      </w:tr>
      <w:tr>
        <w:trPr>
          <w:trHeight w:val="1089"/>
        </w:trPr>
        <w:tc>
          <w:tcPr>
            <w:tcW w:w="775" w:type="dxa"/>
            <w:vMerge/>
            <w:tcBorders>
              <w:left w:val="single" w:sz="4" w:space="0" w:color="auto"/>
              <w:bottom w:val="single" w:sz="4" w:space="0" w:color="auto"/>
              <w:right w:val="single" w:sz="4" w:space="0" w:color="auto"/>
            </w:tcBorders>
            <w:vAlign w:val="center"/>
          </w:tcPr>
          <w:p/>
        </w:tc>
        <w:tc>
          <w:tcPr>
            <w:tcW w:w="770" w:type="dxa"/>
            <w:vMerge/>
            <w:tcBorders>
              <w:left w:val="single" w:sz="4" w:space="0" w:color="auto"/>
              <w:bottom w:val="single" w:sz="4" w:space="0" w:color="auto"/>
              <w:right w:val="single" w:sz="4" w:space="0" w:color="auto"/>
            </w:tcBorders>
            <w:vAlign w:val="center"/>
          </w:tcPr>
          <w:p/>
        </w:tc>
        <w:tc>
          <w:tcPr>
            <w:tcW w:w="707" w:type="dxa"/>
            <w:tcBorders>
              <w:top w:val="nil"/>
              <w:left w:val="nil"/>
              <w:bottom w:val="single" w:sz="4" w:space="0" w:color="auto"/>
              <w:right w:val="single" w:sz="4" w:space="0" w:color="auto"/>
            </w:tcBorders>
            <w:vAlign w:val="center"/>
          </w:tcPr>
          <w:p>
            <w:pPr>
              <w:widowControl/>
              <w:snapToGrid/>
              <w:spacing w:before="0" w:beforeAutospacing="0" w:after="0" w:afterAutospacing="0" w:line="24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“三公经费”变动率</w:t>
            </w:r>
          </w:p>
        </w:tc>
        <w:tc>
          <w:tcPr>
            <w:tcW w:w="477" w:type="dxa"/>
            <w:tcBorders>
              <w:top w:val="nil"/>
              <w:left w:val="nil"/>
              <w:bottom w:val="single" w:sz="4" w:space="0" w:color="auto"/>
              <w:right w:val="single" w:sz="4" w:space="0" w:color="auto"/>
            </w:tcBorders>
            <w:vAlign w:val="center"/>
          </w:tcPr>
          <w:p>
            <w:pPr>
              <w:widowControl/>
              <w:snapToGrid/>
              <w:spacing w:before="0" w:beforeAutospacing="0" w:after="0" w:afterAutospacing="0" w:line="24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3</w:t>
            </w:r>
          </w:p>
        </w:tc>
        <w:tc>
          <w:tcPr>
            <w:tcW w:w="2207" w:type="dxa"/>
            <w:tcBorders>
              <w:top w:val="single" w:sz="4" w:space="0" w:color="auto"/>
              <w:left w:val="nil"/>
              <w:bottom w:val="single" w:sz="4" w:space="0" w:color="auto"/>
              <w:right w:val="single" w:sz="4" w:space="0" w:color="auto"/>
            </w:tcBorders>
            <w:vAlign w:val="center"/>
          </w:tcPr>
          <w:p>
            <w:pPr>
              <w:snapToGrid/>
              <w:spacing w:before="0" w:beforeAutospacing="0" w:after="0" w:afterAutospacing="0" w:line="240" w:lineRule="exact"/>
              <w:jc w:val="both"/>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部门（单位）本年度“三公经费”预算数与上年度“三公经费”预算数的变动比率，用以反映和考核对控制重点行政成本的努力程度。</w:t>
            </w:r>
          </w:p>
        </w:tc>
        <w:tc>
          <w:tcPr>
            <w:tcW w:w="2967" w:type="dxa"/>
            <w:tcBorders>
              <w:top w:val="single" w:sz="4" w:space="0" w:color="auto"/>
              <w:left w:val="nil"/>
              <w:bottom w:val="single" w:sz="4" w:space="0" w:color="auto"/>
              <w:right w:val="single" w:sz="4" w:space="0" w:color="auto"/>
            </w:tcBorders>
          </w:tcPr>
          <w:p>
            <w:pPr>
              <w:snapToGrid/>
              <w:spacing w:before="0" w:beforeAutospacing="0" w:after="0" w:afterAutospacing="0" w:line="240" w:lineRule="exact"/>
              <w:jc w:val="both"/>
              <w:textAlignment w:val="baseline"/>
              <w:rPr>
                <w:b w:val="0"/>
                <w:i w:val="0"/>
                <w:caps w:val="0"/>
                <w:smallCaps w:val="0"/>
                <w:color w:val="000000"/>
                <w:spacing w:val="0"/>
                <w:w w:val="100"/>
                <w:sz w:val="20"/>
              </w:rPr>
            </w:pPr>
            <w:r>
              <w:rPr>
                <w:b w:val="0"/>
                <w:i w:val="0"/>
                <w:caps w:val="0"/>
                <w:smallCaps w:val="0"/>
                <w:color w:val="000000"/>
                <w:spacing w:val="0"/>
                <w:w w:val="100"/>
                <w:kern w:val="0"/>
                <w:sz w:val="15"/>
                <w:szCs w:val="15"/>
              </w:rPr>
              <w:t>“三公经费”变动率=[（本年度“三公经费”预算数-上年度“三公经费”预算数）/上年度“三公经费”预算数]×100%。</w:t>
            </w:r>
          </w:p>
          <w:p>
            <w:pPr>
              <w:widowControl/>
              <w:snapToGrid/>
              <w:spacing w:before="0" w:beforeAutospacing="0" w:after="0" w:afterAutospacing="0" w:line="240" w:lineRule="exact"/>
              <w:jc w:val="both"/>
              <w:textAlignment w:val="baseline"/>
              <w:rPr>
                <w:b w:val="0"/>
                <w:i w:val="0"/>
                <w:caps w:val="0"/>
                <w:smallCaps w:val="0"/>
                <w:color w:val="000000"/>
                <w:spacing w:val="0"/>
                <w:w w:val="100"/>
                <w:kern w:val="0"/>
                <w:sz w:val="15"/>
                <w:szCs w:val="15"/>
              </w:rPr>
            </w:pPr>
          </w:p>
        </w:tc>
        <w:tc>
          <w:tcPr>
            <w:tcW w:w="1134" w:type="dxa"/>
            <w:tcBorders>
              <w:top w:val="single" w:sz="4" w:space="0" w:color="auto"/>
              <w:left w:val="single" w:sz="4" w:space="0" w:color="auto"/>
              <w:bottom w:val="single" w:sz="4" w:space="0" w:color="auto"/>
              <w:right w:val="single" w:sz="4" w:space="0" w:color="auto"/>
            </w:tcBorders>
          </w:tcPr>
          <w:p>
            <w:pPr>
              <w:snapToGrid/>
              <w:spacing w:before="0" w:beforeAutospacing="0" w:after="0" w:afterAutospacing="0" w:line="240" w:lineRule="exact"/>
              <w:jc w:val="both"/>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“三公经费”变动率≦0,计3分；“三公经费”变动率＞0，每超过一个百分点扣0.5分，扣完为止。</w:t>
            </w:r>
          </w:p>
        </w:tc>
        <w:tc>
          <w:tcPr>
            <w:tcW w:w="614" w:type="dxa"/>
            <w:tcBorders>
              <w:top w:val="nil"/>
              <w:left w:val="nil"/>
              <w:bottom w:val="single" w:sz="4" w:space="0" w:color="auto"/>
              <w:right w:val="single" w:sz="4" w:space="0" w:color="auto"/>
            </w:tcBorders>
            <w:vAlign w:val="center"/>
          </w:tcPr>
          <w:p>
            <w:pPr>
              <w:widowControl/>
              <w:snapToGrid/>
              <w:spacing w:before="0" w:beforeAutospacing="0" w:after="0" w:afterAutospacing="0" w:line="240" w:lineRule="exact"/>
              <w:jc w:val="left"/>
              <w:textAlignment w:val="baseline"/>
              <w:rPr>
                <w:b w:val="0"/>
                <w:i w:val="0"/>
                <w:caps w:val="0"/>
                <w:smallCaps w:val="0"/>
                <w:color w:val="000000"/>
                <w:spacing w:val="0"/>
                <w:w w:val="100"/>
                <w:kern w:val="0"/>
                <w:sz w:val="15"/>
                <w:szCs w:val="15"/>
              </w:rPr>
            </w:pPr>
            <w:r>
              <w:rPr>
                <w:rFonts w:ascii="Times New Roman" w:eastAsia="宋体" w:cs="Times New Roman" w:hAnsi="Times New Roman" w:hint="eastAsia"/>
                <w:b w:val="0"/>
                <w:i w:val="0"/>
                <w:caps w:val="0"/>
                <w:smallCaps w:val="0"/>
                <w:color w:val="000000"/>
                <w:spacing w:val="0"/>
                <w:w w:val="100"/>
                <w:kern w:val="0"/>
                <w:sz w:val="15"/>
                <w:szCs w:val="15"/>
              </w:rPr>
              <w:t>3</w:t>
            </w:r>
          </w:p>
        </w:tc>
      </w:tr>
      <w:tr>
        <w:trPr>
          <w:trHeight w:val="928"/>
        </w:trPr>
        <w:tc>
          <w:tcPr>
            <w:tcW w:w="775" w:type="dxa"/>
            <w:vMerge w:val="restart"/>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p>
          <w:p>
            <w:pPr>
              <w:widowControl/>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p>
          <w:p>
            <w:pPr>
              <w:widowControl/>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p>
          <w:p>
            <w:pPr>
              <w:widowControl/>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p>
          <w:p>
            <w:pPr>
              <w:widowControl/>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p>
          <w:p>
            <w:pPr>
              <w:widowControl/>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p>
          <w:p>
            <w:pPr>
              <w:widowControl/>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p>
          <w:p>
            <w:pPr>
              <w:widowControl/>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过程</w:t>
            </w:r>
          </w:p>
          <w:p>
            <w:pPr>
              <w:widowControl/>
              <w:snapToGrid/>
              <w:spacing w:before="0" w:beforeAutospacing="0" w:after="0" w:afterAutospacing="0" w:line="240" w:lineRule="auto"/>
              <w:jc w:val="both"/>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 xml:space="preserve">（50分）                                                   </w:t>
            </w:r>
          </w:p>
          <w:p>
            <w:pPr>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 xml:space="preserve">                                                    </w:t>
            </w:r>
          </w:p>
          <w:p>
            <w:pPr>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p>
          <w:p>
            <w:pPr>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p>
          <w:p>
            <w:pPr>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p>
          <w:p>
            <w:pPr>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p>
          <w:p>
            <w:pPr>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p>
          <w:p>
            <w:pPr>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p>
          <w:p>
            <w:pPr>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p>
          <w:p>
            <w:pPr>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p>
          <w:p>
            <w:pPr>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p>
          <w:p>
            <w:pPr>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 xml:space="preserve">             </w:t>
            </w:r>
          </w:p>
          <w:p>
            <w:pPr>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过程</w:t>
            </w:r>
          </w:p>
          <w:p>
            <w:pPr>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(50分)</w:t>
            </w:r>
          </w:p>
        </w:tc>
        <w:tc>
          <w:tcPr>
            <w:tcW w:w="770" w:type="dxa"/>
            <w:vMerge w:val="restart"/>
            <w:tcBorders>
              <w:top w:val="single" w:sz="4" w:space="0" w:color="auto"/>
              <w:left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预算</w:t>
            </w:r>
          </w:p>
          <w:p>
            <w:pPr>
              <w:widowControl/>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执行</w:t>
            </w:r>
          </w:p>
          <w:p>
            <w:pPr>
              <w:snapToGrid/>
              <w:spacing w:before="0" w:beforeAutospacing="0" w:after="0" w:afterAutospacing="0" w:line="240" w:lineRule="auto"/>
              <w:jc w:val="both"/>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(32分)</w:t>
            </w:r>
          </w:p>
        </w:tc>
        <w:tc>
          <w:tcPr>
            <w:tcW w:w="707"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预算到位率</w:t>
            </w:r>
          </w:p>
        </w:tc>
        <w:tc>
          <w:tcPr>
            <w:tcW w:w="477" w:type="dxa"/>
            <w:tcBorders>
              <w:top w:val="nil"/>
              <w:left w:val="nil"/>
              <w:bottom w:val="single" w:sz="4" w:space="0" w:color="auto"/>
              <w:right w:val="single" w:sz="4" w:space="0" w:color="auto"/>
            </w:tcBorders>
            <w:vAlign w:val="center"/>
          </w:tcPr>
          <w:p>
            <w:pPr>
              <w:widowControl/>
              <w:snapToGrid/>
              <w:spacing w:before="0" w:beforeAutospacing="0" w:after="0" w:afterAutospacing="0" w:line="24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5</w:t>
            </w:r>
          </w:p>
        </w:tc>
        <w:tc>
          <w:tcPr>
            <w:tcW w:w="2207" w:type="dxa"/>
            <w:tcBorders>
              <w:top w:val="nil"/>
              <w:left w:val="nil"/>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部门（单位）本年度部门预算数与部门决算数的比率，用以反映和考核预算完成程度。</w:t>
            </w:r>
          </w:p>
        </w:tc>
        <w:tc>
          <w:tcPr>
            <w:tcW w:w="2967" w:type="dxa"/>
            <w:tcBorders>
              <w:top w:val="nil"/>
              <w:left w:val="nil"/>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预算到位率=预算数/决算数×100%。</w:t>
            </w:r>
          </w:p>
        </w:tc>
        <w:tc>
          <w:tcPr>
            <w:tcW w:w="1134" w:type="dxa"/>
            <w:tcBorders>
              <w:top w:val="nil"/>
              <w:left w:val="nil"/>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≥90%：5分；每减少10%的完成率扣1分，扣完为止</w:t>
            </w:r>
          </w:p>
        </w:tc>
        <w:tc>
          <w:tcPr>
            <w:tcW w:w="614" w:type="dxa"/>
            <w:tcBorders>
              <w:top w:val="nil"/>
              <w:left w:val="nil"/>
              <w:bottom w:val="single" w:sz="4" w:space="0" w:color="auto"/>
              <w:right w:val="single" w:sz="4" w:space="0" w:color="auto"/>
            </w:tcBorders>
            <w:vAlign w:val="center"/>
          </w:tcPr>
          <w:p>
            <w:pPr>
              <w:widowControl/>
              <w:tabs>
                <w:tab w:val="left" w:pos="247"/>
              </w:tabs>
              <w:snapToGrid/>
              <w:spacing w:before="0" w:beforeAutospacing="0" w:after="0" w:afterAutospacing="0" w:line="240" w:lineRule="exact"/>
              <w:jc w:val="left"/>
              <w:textAlignment w:val="baseline"/>
              <w:rPr>
                <w:rFonts w:eastAsia="宋体"/>
                <w:b w:val="0"/>
                <w:i w:val="0"/>
                <w:caps w:val="0"/>
                <w:smallCaps w:val="0"/>
                <w:color w:val="000000"/>
                <w:spacing w:val="0"/>
                <w:w w:val="100"/>
                <w:kern w:val="0"/>
                <w:sz w:val="15"/>
                <w:szCs w:val="15"/>
                <w:lang w:val="en-US" w:eastAsia="zh-CN"/>
              </w:rPr>
            </w:pPr>
            <w:r>
              <w:rPr>
                <w:rFonts w:hint="eastAsia"/>
                <w:b w:val="0"/>
                <w:i w:val="0"/>
                <w:caps w:val="0"/>
                <w:smallCaps w:val="0"/>
                <w:color w:val="000000"/>
                <w:spacing w:val="0"/>
                <w:w w:val="100"/>
                <w:kern w:val="0"/>
                <w:sz w:val="15"/>
                <w:szCs w:val="15"/>
                <w:lang w:val="en-US" w:eastAsia="zh-CN"/>
              </w:rPr>
              <w:t>5</w:t>
            </w:r>
          </w:p>
        </w:tc>
      </w:tr>
      <w:tr>
        <w:trPr>
          <w:trHeight w:val="1561"/>
        </w:trPr>
        <w:tc>
          <w:tcPr>
            <w:tcW w:w="775" w:type="dxa"/>
            <w:vMerge/>
            <w:tcBorders>
              <w:top w:val="single" w:sz="4" w:space="0" w:color="auto"/>
              <w:left w:val="single" w:sz="4" w:space="0" w:color="auto"/>
              <w:bottom w:val="single" w:sz="4" w:space="0" w:color="auto"/>
              <w:right w:val="single" w:sz="4" w:space="0" w:color="auto"/>
            </w:tcBorders>
            <w:vAlign w:val="center"/>
          </w:tcPr>
          <w:p/>
        </w:tc>
        <w:tc>
          <w:tcPr>
            <w:tcW w:w="770" w:type="dxa"/>
            <w:vMerge/>
            <w:tcBorders>
              <w:left w:val="single" w:sz="4" w:space="0" w:color="auto"/>
              <w:right w:val="single" w:sz="4" w:space="0" w:color="auto"/>
            </w:tcBorders>
            <w:vAlign w:val="center"/>
          </w:tcPr>
          <w:p/>
        </w:tc>
        <w:tc>
          <w:tcPr>
            <w:tcW w:w="707"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预算控制率</w:t>
            </w:r>
          </w:p>
        </w:tc>
        <w:tc>
          <w:tcPr>
            <w:tcW w:w="477" w:type="dxa"/>
            <w:tcBorders>
              <w:top w:val="nil"/>
              <w:left w:val="nil"/>
              <w:bottom w:val="single" w:sz="4" w:space="0" w:color="auto"/>
              <w:right w:val="single" w:sz="4" w:space="0" w:color="auto"/>
            </w:tcBorders>
            <w:vAlign w:val="center"/>
          </w:tcPr>
          <w:p>
            <w:pPr>
              <w:widowControl/>
              <w:snapToGrid/>
              <w:spacing w:before="0" w:beforeAutospacing="0" w:after="0" w:afterAutospacing="0" w:line="24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5</w:t>
            </w:r>
          </w:p>
        </w:tc>
        <w:tc>
          <w:tcPr>
            <w:tcW w:w="2207" w:type="dxa"/>
            <w:tcBorders>
              <w:top w:val="nil"/>
              <w:left w:val="nil"/>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部门（单位）本年度预算调整数与预算数的比率，用以反映和考核预算的调整程度。</w:t>
            </w:r>
          </w:p>
        </w:tc>
        <w:tc>
          <w:tcPr>
            <w:tcW w:w="2967" w:type="dxa"/>
            <w:tcBorders>
              <w:top w:val="nil"/>
              <w:left w:val="nil"/>
              <w:bottom w:val="single" w:sz="4" w:space="0" w:color="auto"/>
              <w:right w:val="single" w:sz="4" w:space="0" w:color="auto"/>
            </w:tcBorders>
            <w:vAlign w:val="center"/>
          </w:tcPr>
          <w:p>
            <w:pPr>
              <w:snapToGrid/>
              <w:spacing w:before="0" w:beforeAutospacing="0" w:after="0" w:afterAutospacing="0" w:line="240" w:lineRule="exact"/>
              <w:jc w:val="both"/>
              <w:textAlignment w:val="baseline"/>
              <w:rPr>
                <w:b w:val="0"/>
                <w:i w:val="0"/>
                <w:caps w:val="0"/>
                <w:smallCaps w:val="0"/>
                <w:color w:val="000000"/>
                <w:spacing w:val="0"/>
                <w:w w:val="100"/>
                <w:sz w:val="20"/>
              </w:rPr>
            </w:pPr>
            <w:r>
              <w:rPr>
                <w:b w:val="0"/>
                <w:i w:val="0"/>
                <w:caps w:val="0"/>
                <w:smallCaps w:val="0"/>
                <w:color w:val="000000"/>
                <w:spacing w:val="0"/>
                <w:w w:val="100"/>
                <w:kern w:val="0"/>
                <w:sz w:val="15"/>
                <w:szCs w:val="15"/>
              </w:rPr>
              <w:t>预算控制率=（预算调整数/预算数）×100%。</w:t>
              <w:br/>
              <w:t>预算调整数：部门（单位）在本年度内涉及预算的追加、追减或结构调整的资金总和（因落实国家政策、发生不可抗力、上级部门或本级党委政府临时交办而产生的调整除外）。</w:t>
            </w:r>
          </w:p>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p>
        </w:tc>
        <w:tc>
          <w:tcPr>
            <w:tcW w:w="1134" w:type="dxa"/>
            <w:tcBorders>
              <w:top w:val="nil"/>
              <w:left w:val="nil"/>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≤0：5分；每增加10%的调整率扣1分，扣完为止</w:t>
            </w:r>
          </w:p>
        </w:tc>
        <w:tc>
          <w:tcPr>
            <w:tcW w:w="614" w:type="dxa"/>
            <w:tcBorders>
              <w:top w:val="nil"/>
              <w:left w:val="nil"/>
              <w:bottom w:val="single" w:sz="4" w:space="0" w:color="auto"/>
              <w:right w:val="single" w:sz="4" w:space="0" w:color="auto"/>
            </w:tcBorders>
            <w:vAlign w:val="center"/>
          </w:tcPr>
          <w:p>
            <w:pPr>
              <w:widowControl/>
              <w:snapToGrid/>
              <w:spacing w:before="0" w:beforeAutospacing="0" w:after="0" w:afterAutospacing="0" w:line="240" w:lineRule="exact"/>
              <w:jc w:val="left"/>
              <w:textAlignment w:val="baseline"/>
              <w:rPr>
                <w:b w:val="0"/>
                <w:i w:val="0"/>
                <w:caps w:val="0"/>
                <w:smallCaps w:val="0"/>
                <w:color w:val="000000"/>
                <w:spacing w:val="0"/>
                <w:w w:val="100"/>
                <w:kern w:val="0"/>
                <w:sz w:val="15"/>
                <w:szCs w:val="15"/>
              </w:rPr>
            </w:pPr>
            <w:r>
              <w:rPr>
                <w:rFonts w:ascii="Times New Roman" w:eastAsia="宋体" w:cs="Times New Roman" w:hAnsi="Times New Roman" w:hint="eastAsia"/>
                <w:b w:val="0"/>
                <w:i w:val="0"/>
                <w:caps w:val="0"/>
                <w:smallCaps w:val="0"/>
                <w:color w:val="000000"/>
                <w:spacing w:val="0"/>
                <w:w w:val="100"/>
                <w:kern w:val="0"/>
                <w:sz w:val="15"/>
                <w:szCs w:val="15"/>
              </w:rPr>
              <w:t>4</w:t>
            </w:r>
          </w:p>
        </w:tc>
      </w:tr>
      <w:tr>
        <w:trPr>
          <w:trHeight w:val="1486"/>
        </w:trPr>
        <w:tc>
          <w:tcPr>
            <w:tcW w:w="775" w:type="dxa"/>
            <w:vMerge/>
            <w:tcBorders>
              <w:top w:val="single" w:sz="4" w:space="0" w:color="auto"/>
              <w:left w:val="single" w:sz="4" w:space="0" w:color="auto"/>
              <w:bottom w:val="single" w:sz="4" w:space="0" w:color="auto"/>
              <w:right w:val="single" w:sz="4" w:space="0" w:color="auto"/>
            </w:tcBorders>
            <w:vAlign w:val="center"/>
          </w:tcPr>
          <w:p/>
        </w:tc>
        <w:tc>
          <w:tcPr>
            <w:tcW w:w="770" w:type="dxa"/>
            <w:vMerge/>
            <w:tcBorders>
              <w:left w:val="single" w:sz="4" w:space="0" w:color="auto"/>
              <w:bottom w:val="single" w:sz="4" w:space="0" w:color="auto"/>
              <w:right w:val="single" w:sz="4" w:space="0" w:color="auto"/>
            </w:tcBorders>
            <w:vAlign w:val="center"/>
          </w:tcPr>
          <w:p/>
        </w:tc>
        <w:tc>
          <w:tcPr>
            <w:tcW w:w="707" w:type="dxa"/>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结余结转率</w:t>
            </w:r>
          </w:p>
        </w:tc>
        <w:tc>
          <w:tcPr>
            <w:tcW w:w="477" w:type="dxa"/>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5</w:t>
            </w:r>
          </w:p>
        </w:tc>
        <w:tc>
          <w:tcPr>
            <w:tcW w:w="2207" w:type="dxa"/>
            <w:tcBorders>
              <w:top w:val="single" w:sz="4" w:space="0" w:color="auto"/>
              <w:left w:val="single" w:sz="4" w:space="0" w:color="auto"/>
              <w:bottom w:val="single" w:sz="4" w:space="0" w:color="auto"/>
              <w:right w:val="single" w:sz="4" w:space="0" w:color="auto"/>
            </w:tcBorders>
            <w:vAlign w:val="center"/>
          </w:tcPr>
          <w:p>
            <w:pPr>
              <w:snapToGrid/>
              <w:spacing w:before="0" w:beforeAutospacing="0" w:after="0" w:afterAutospacing="0" w:line="240" w:lineRule="exact"/>
              <w:jc w:val="both"/>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部门（单位）本年度结转结余总额与支出预算数的比率，用以反映和考核对本年度结转结余资金的实际控制程度。</w:t>
            </w:r>
          </w:p>
        </w:tc>
        <w:tc>
          <w:tcPr>
            <w:tcW w:w="2967" w:type="dxa"/>
            <w:tcBorders>
              <w:top w:val="single" w:sz="4" w:space="0" w:color="auto"/>
              <w:left w:val="single" w:sz="4" w:space="0" w:color="auto"/>
              <w:bottom w:val="single" w:sz="4" w:space="0" w:color="auto"/>
              <w:right w:val="single" w:sz="4" w:space="0" w:color="auto"/>
            </w:tcBorders>
            <w:vAlign w:val="center"/>
          </w:tcPr>
          <w:p>
            <w:pPr>
              <w:snapToGrid/>
              <w:spacing w:before="0" w:beforeAutospacing="0" w:after="0" w:afterAutospacing="0" w:line="240" w:lineRule="exact"/>
              <w:jc w:val="both"/>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结转结余率=结转结余总额/支出决算数×100%。</w:t>
              <w:br/>
              <w:t>结转结余总额：部门（单位）本年度的结转资金与结余资金之和（以决算数为准）。</w:t>
            </w:r>
          </w:p>
        </w:tc>
        <w:tc>
          <w:tcPr>
            <w:tcW w:w="1134" w:type="dxa"/>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both"/>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≤9%：5分；每增加10%的调整率扣1分，扣完为止</w:t>
            </w:r>
          </w:p>
        </w:tc>
        <w:tc>
          <w:tcPr>
            <w:tcW w:w="614" w:type="dxa"/>
            <w:tcBorders>
              <w:top w:val="single" w:sz="4" w:space="0" w:color="auto"/>
              <w:left w:val="single" w:sz="4" w:space="0" w:color="auto"/>
              <w:bottom w:val="single" w:sz="4" w:space="0" w:color="auto"/>
              <w:right w:val="single" w:sz="4" w:space="0" w:color="auto"/>
            </w:tcBorders>
            <w:vAlign w:val="center"/>
          </w:tcPr>
          <w:p>
            <w:pPr>
              <w:snapToGrid/>
              <w:spacing w:before="0" w:beforeAutospacing="0" w:after="0" w:afterAutospacing="0" w:line="240" w:lineRule="exact"/>
              <w:jc w:val="left"/>
              <w:textAlignment w:val="baseline"/>
              <w:rPr>
                <w:rFonts w:eastAsia="宋体" w:hint="eastAsia"/>
                <w:b w:val="0"/>
                <w:i w:val="0"/>
                <w:caps w:val="0"/>
                <w:smallCaps w:val="0"/>
                <w:color w:val="000000"/>
                <w:spacing w:val="0"/>
                <w:w w:val="100"/>
                <w:kern w:val="0"/>
                <w:sz w:val="15"/>
                <w:szCs w:val="15"/>
                <w:lang w:val="en-US" w:eastAsia="zh-CN"/>
              </w:rPr>
            </w:pPr>
            <w:r>
              <w:rPr>
                <w:rFonts w:hint="eastAsia"/>
                <w:b w:val="0"/>
                <w:i w:val="0"/>
                <w:caps w:val="0"/>
                <w:smallCaps w:val="0"/>
                <w:color w:val="000000"/>
                <w:spacing w:val="0"/>
                <w:w w:val="100"/>
                <w:kern w:val="0"/>
                <w:sz w:val="15"/>
                <w:szCs w:val="15"/>
                <w:lang w:val="en-US" w:eastAsia="zh-CN"/>
              </w:rPr>
              <w:t>4</w:t>
            </w:r>
          </w:p>
        </w:tc>
      </w:tr>
      <w:tr>
        <w:trPr>
          <w:trHeight w:hRule="exact" w:val="1322"/>
        </w:trPr>
        <w:tc>
          <w:tcPr>
            <w:tcW w:w="775" w:type="dxa"/>
            <w:vMerge/>
            <w:tcBorders>
              <w:top w:val="single" w:sz="4" w:space="0" w:color="auto"/>
              <w:left w:val="single" w:sz="4" w:space="0" w:color="auto"/>
              <w:bottom w:val="single" w:sz="4" w:space="0" w:color="auto"/>
              <w:right w:val="single" w:sz="4" w:space="0" w:color="auto"/>
            </w:tcBorders>
            <w:vAlign w:val="center"/>
          </w:tcPr>
          <w:p/>
        </w:tc>
        <w:tc>
          <w:tcPr>
            <w:tcW w:w="770" w:type="dxa"/>
            <w:vMerge w:val="restart"/>
            <w:tcBorders>
              <w:top w:val="single" w:sz="4" w:space="0" w:color="auto"/>
              <w:left w:val="single" w:sz="4" w:space="0" w:color="auto"/>
              <w:right w:val="single" w:sz="4" w:space="0" w:color="auto"/>
            </w:tcBorders>
            <w:vAlign w:val="center"/>
          </w:tcPr>
          <w:p>
            <w:pPr>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预算</w:t>
            </w:r>
          </w:p>
          <w:p>
            <w:pPr>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执行</w:t>
            </w:r>
          </w:p>
          <w:p>
            <w:pPr>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(32分)</w:t>
            </w:r>
          </w:p>
        </w:tc>
        <w:tc>
          <w:tcPr>
            <w:tcW w:w="707" w:type="dxa"/>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结余结转变动率</w:t>
            </w:r>
          </w:p>
        </w:tc>
        <w:tc>
          <w:tcPr>
            <w:tcW w:w="477" w:type="dxa"/>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5</w:t>
            </w:r>
          </w:p>
        </w:tc>
        <w:tc>
          <w:tcPr>
            <w:tcW w:w="2207" w:type="dxa"/>
            <w:tcBorders>
              <w:top w:val="single" w:sz="4" w:space="0" w:color="auto"/>
              <w:left w:val="single" w:sz="4" w:space="0" w:color="auto"/>
              <w:bottom w:val="single" w:sz="4" w:space="0" w:color="auto"/>
              <w:right w:val="single" w:sz="4" w:space="0" w:color="auto"/>
            </w:tcBorders>
            <w:vAlign w:val="center"/>
          </w:tcPr>
          <w:p>
            <w:pPr>
              <w:snapToGrid/>
              <w:spacing w:before="0" w:beforeAutospacing="0" w:after="0" w:afterAutospacing="0" w:line="240" w:lineRule="exact"/>
              <w:jc w:val="both"/>
              <w:textAlignment w:val="baseline"/>
              <w:rPr>
                <w:b w:val="0"/>
                <w:i w:val="0"/>
                <w:caps w:val="0"/>
                <w:smallCaps w:val="0"/>
                <w:color w:val="000000"/>
                <w:spacing w:val="0"/>
                <w:w w:val="100"/>
                <w:sz w:val="20"/>
              </w:rPr>
            </w:pPr>
            <w:r>
              <w:rPr>
                <w:b w:val="0"/>
                <w:i w:val="0"/>
                <w:caps w:val="0"/>
                <w:smallCaps w:val="0"/>
                <w:color w:val="000000"/>
                <w:spacing w:val="0"/>
                <w:w w:val="100"/>
                <w:kern w:val="0"/>
                <w:sz w:val="15"/>
                <w:szCs w:val="15"/>
              </w:rPr>
              <w:t>部门（单位）本年度结转结余资金总额与上年度结转结余资金总额的变动比率，用以反映和考核对控制结转结余资金的努力程度。</w:t>
            </w:r>
          </w:p>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p>
        </w:tc>
        <w:tc>
          <w:tcPr>
            <w:tcW w:w="2967" w:type="dxa"/>
            <w:tcBorders>
              <w:top w:val="single" w:sz="4" w:space="0" w:color="auto"/>
              <w:left w:val="single" w:sz="4" w:space="0" w:color="auto"/>
              <w:bottom w:val="single" w:sz="4" w:space="0" w:color="auto"/>
              <w:right w:val="single" w:sz="4" w:space="0" w:color="auto"/>
            </w:tcBorders>
            <w:vAlign w:val="center"/>
          </w:tcPr>
          <w:p>
            <w:pPr>
              <w:snapToGrid/>
              <w:spacing w:before="0" w:beforeAutospacing="0" w:after="0" w:afterAutospacing="0" w:line="240" w:lineRule="exact"/>
              <w:jc w:val="both"/>
              <w:textAlignment w:val="baseline"/>
              <w:rPr>
                <w:b w:val="0"/>
                <w:i w:val="0"/>
                <w:caps w:val="0"/>
                <w:smallCaps w:val="0"/>
                <w:color w:val="000000"/>
                <w:spacing w:val="0"/>
                <w:w w:val="100"/>
                <w:sz w:val="20"/>
              </w:rPr>
            </w:pPr>
            <w:r>
              <w:rPr>
                <w:b w:val="0"/>
                <w:i w:val="0"/>
                <w:caps w:val="0"/>
                <w:smallCaps w:val="0"/>
                <w:color w:val="000000"/>
                <w:spacing w:val="0"/>
                <w:w w:val="100"/>
                <w:kern w:val="0"/>
                <w:sz w:val="15"/>
                <w:szCs w:val="15"/>
              </w:rPr>
              <w:t>结转结余变动率=[（本年度累计结转结余资金总额-上年度累计结转结余资金总额）/上年度累计结转结余资金总额]×100%。</w:t>
            </w:r>
          </w:p>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p>
        </w:tc>
        <w:tc>
          <w:tcPr>
            <w:tcW w:w="1134" w:type="dxa"/>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both"/>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≤10%：5分；每增加10%的调整率扣1分，扣完为止</w:t>
            </w:r>
          </w:p>
        </w:tc>
        <w:tc>
          <w:tcPr>
            <w:tcW w:w="614" w:type="dxa"/>
            <w:tcBorders>
              <w:top w:val="single" w:sz="4" w:space="0" w:color="auto"/>
              <w:left w:val="single" w:sz="4" w:space="0" w:color="auto"/>
              <w:bottom w:val="single" w:sz="4" w:space="0" w:color="auto"/>
              <w:right w:val="single" w:sz="4" w:space="0" w:color="auto"/>
            </w:tcBorders>
            <w:vAlign w:val="center"/>
          </w:tcPr>
          <w:p>
            <w:pPr>
              <w:snapToGrid/>
              <w:spacing w:before="0" w:beforeAutospacing="0" w:after="0" w:afterAutospacing="0" w:line="240" w:lineRule="exact"/>
              <w:jc w:val="left"/>
              <w:textAlignment w:val="baseline"/>
              <w:rPr>
                <w:b w:val="0"/>
                <w:i w:val="0"/>
                <w:caps w:val="0"/>
                <w:smallCaps w:val="0"/>
                <w:color w:val="000000"/>
                <w:spacing w:val="0"/>
                <w:w w:val="100"/>
                <w:kern w:val="0"/>
                <w:sz w:val="15"/>
                <w:szCs w:val="15"/>
              </w:rPr>
            </w:pPr>
            <w:r>
              <w:rPr>
                <w:rFonts w:ascii="Times New Roman" w:eastAsia="宋体" w:cs="Times New Roman" w:hAnsi="Times New Roman" w:hint="eastAsia"/>
                <w:b w:val="0"/>
                <w:i w:val="0"/>
                <w:caps w:val="0"/>
                <w:smallCaps w:val="0"/>
                <w:color w:val="000000"/>
                <w:spacing w:val="0"/>
                <w:w w:val="100"/>
                <w:kern w:val="0"/>
                <w:sz w:val="15"/>
                <w:szCs w:val="15"/>
              </w:rPr>
              <w:t>5</w:t>
            </w:r>
          </w:p>
        </w:tc>
      </w:tr>
      <w:tr>
        <w:trPr>
          <w:trHeight w:val="1262"/>
        </w:trPr>
        <w:tc>
          <w:tcPr>
            <w:tcW w:w="775" w:type="dxa"/>
            <w:vMerge/>
            <w:tcBorders>
              <w:top w:val="single" w:sz="4" w:space="0" w:color="auto"/>
              <w:left w:val="single" w:sz="4" w:space="0" w:color="auto"/>
              <w:bottom w:val="single" w:sz="4" w:space="0" w:color="auto"/>
              <w:right w:val="single" w:sz="4" w:space="0" w:color="auto"/>
            </w:tcBorders>
            <w:vAlign w:val="center"/>
          </w:tcPr>
          <w:p/>
        </w:tc>
        <w:tc>
          <w:tcPr>
            <w:tcW w:w="770" w:type="dxa"/>
            <w:vMerge/>
            <w:tcBorders>
              <w:left w:val="single" w:sz="4" w:space="0" w:color="auto"/>
              <w:right w:val="single" w:sz="4" w:space="0" w:color="auto"/>
            </w:tcBorders>
            <w:vAlign w:val="center"/>
          </w:tcPr>
          <w:p/>
        </w:tc>
        <w:tc>
          <w:tcPr>
            <w:tcW w:w="707" w:type="dxa"/>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公用经费控制率</w:t>
            </w:r>
          </w:p>
        </w:tc>
        <w:tc>
          <w:tcPr>
            <w:tcW w:w="477" w:type="dxa"/>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4</w:t>
            </w:r>
          </w:p>
        </w:tc>
        <w:tc>
          <w:tcPr>
            <w:tcW w:w="2207" w:type="dxa"/>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exact"/>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部门（单位）本年度实际支出的公用经费总额与预算安排的公用经费总额的比率，用以反映和考核对机构运转成本的实际控制程度。</w:t>
            </w:r>
          </w:p>
        </w:tc>
        <w:tc>
          <w:tcPr>
            <w:tcW w:w="2967" w:type="dxa"/>
            <w:tcBorders>
              <w:top w:val="single" w:sz="4" w:space="0" w:color="auto"/>
              <w:left w:val="single" w:sz="4" w:space="0" w:color="auto"/>
              <w:bottom w:val="single" w:sz="4" w:space="0" w:color="auto"/>
              <w:right w:val="single" w:sz="4" w:space="0" w:color="auto"/>
            </w:tcBorders>
            <w:vAlign w:val="center"/>
          </w:tcPr>
          <w:p>
            <w:pPr>
              <w:snapToGrid/>
              <w:spacing w:before="0" w:beforeAutospacing="0" w:after="0" w:afterAutospacing="0" w:line="240" w:lineRule="exact"/>
              <w:jc w:val="both"/>
              <w:textAlignment w:val="baseline"/>
              <w:rPr>
                <w:b w:val="0"/>
                <w:i w:val="0"/>
                <w:caps w:val="0"/>
                <w:smallCaps w:val="0"/>
                <w:color w:val="000000"/>
                <w:spacing w:val="0"/>
                <w:w w:val="100"/>
                <w:sz w:val="20"/>
              </w:rPr>
            </w:pPr>
            <w:r>
              <w:rPr>
                <w:b w:val="0"/>
                <w:i w:val="0"/>
                <w:caps w:val="0"/>
                <w:smallCaps w:val="0"/>
                <w:color w:val="000000"/>
                <w:spacing w:val="0"/>
                <w:w w:val="100"/>
                <w:kern w:val="0"/>
                <w:sz w:val="15"/>
                <w:szCs w:val="15"/>
              </w:rPr>
              <w:t>公用经费控制率=（实际支出公用经费总额/公用经费预算总额）×100%。公用经费支出是指部门基本支出中的一般商品和服务支出。</w:t>
            </w:r>
          </w:p>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p>
        </w:tc>
        <w:tc>
          <w:tcPr>
            <w:tcW w:w="1134" w:type="dxa"/>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both"/>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≤100%：4分；每增加5%的公用经费扣1分，扣完为止</w:t>
            </w:r>
          </w:p>
        </w:tc>
        <w:tc>
          <w:tcPr>
            <w:tcW w:w="614" w:type="dxa"/>
            <w:tcBorders>
              <w:top w:val="single" w:sz="4" w:space="0" w:color="auto"/>
              <w:left w:val="single" w:sz="4" w:space="0" w:color="auto"/>
              <w:bottom w:val="single" w:sz="4" w:space="0" w:color="auto"/>
              <w:right w:val="single" w:sz="4" w:space="0" w:color="auto"/>
            </w:tcBorders>
            <w:vAlign w:val="center"/>
          </w:tcPr>
          <w:p>
            <w:pPr>
              <w:snapToGrid/>
              <w:spacing w:before="0" w:beforeAutospacing="0" w:after="0" w:afterAutospacing="0" w:line="240" w:lineRule="exact"/>
              <w:jc w:val="left"/>
              <w:textAlignment w:val="baseline"/>
              <w:rPr>
                <w:b w:val="0"/>
                <w:i w:val="0"/>
                <w:caps w:val="0"/>
                <w:smallCaps w:val="0"/>
                <w:color w:val="000000"/>
                <w:spacing w:val="0"/>
                <w:w w:val="100"/>
                <w:kern w:val="0"/>
                <w:sz w:val="15"/>
                <w:szCs w:val="15"/>
              </w:rPr>
            </w:pPr>
            <w:r>
              <w:rPr>
                <w:rFonts w:ascii="Times New Roman" w:eastAsia="宋体" w:cs="Times New Roman" w:hAnsi="Times New Roman" w:hint="eastAsia"/>
                <w:b w:val="0"/>
                <w:i w:val="0"/>
                <w:caps w:val="0"/>
                <w:smallCaps w:val="0"/>
                <w:color w:val="000000"/>
                <w:spacing w:val="0"/>
                <w:w w:val="100"/>
                <w:kern w:val="0"/>
                <w:sz w:val="15"/>
                <w:szCs w:val="15"/>
              </w:rPr>
              <w:t>4</w:t>
            </w:r>
          </w:p>
        </w:tc>
      </w:tr>
      <w:tr>
        <w:trPr>
          <w:trHeight w:hRule="exact" w:val="1034"/>
        </w:trPr>
        <w:tc>
          <w:tcPr>
            <w:tcW w:w="775" w:type="dxa"/>
            <w:vMerge/>
            <w:tcBorders>
              <w:top w:val="single" w:sz="4" w:space="0" w:color="auto"/>
              <w:left w:val="single" w:sz="4" w:space="0" w:color="auto"/>
              <w:bottom w:val="single" w:sz="4" w:space="0" w:color="auto"/>
              <w:right w:val="single" w:sz="4" w:space="0" w:color="auto"/>
            </w:tcBorders>
            <w:vAlign w:val="center"/>
          </w:tcPr>
          <w:p/>
        </w:tc>
        <w:tc>
          <w:tcPr>
            <w:tcW w:w="770" w:type="dxa"/>
            <w:vMerge/>
            <w:tcBorders>
              <w:left w:val="single" w:sz="4" w:space="0" w:color="auto"/>
              <w:bottom w:val="single" w:sz="4" w:space="0" w:color="auto"/>
              <w:right w:val="single" w:sz="4" w:space="0" w:color="auto"/>
            </w:tcBorders>
            <w:vAlign w:val="center"/>
          </w:tcPr>
          <w:p/>
        </w:tc>
        <w:tc>
          <w:tcPr>
            <w:tcW w:w="707"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“三公经费”控制率</w:t>
            </w:r>
          </w:p>
        </w:tc>
        <w:tc>
          <w:tcPr>
            <w:tcW w:w="477" w:type="dxa"/>
            <w:tcBorders>
              <w:top w:val="nil"/>
              <w:left w:val="nil"/>
              <w:bottom w:val="single" w:sz="4" w:space="0" w:color="auto"/>
              <w:right w:val="single" w:sz="4" w:space="0" w:color="auto"/>
            </w:tcBorders>
            <w:vAlign w:val="center"/>
          </w:tcPr>
          <w:p>
            <w:pPr>
              <w:widowControl/>
              <w:snapToGrid/>
              <w:spacing w:before="0" w:beforeAutospacing="0" w:after="0" w:afterAutospacing="0" w:line="24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5</w:t>
            </w:r>
          </w:p>
        </w:tc>
        <w:tc>
          <w:tcPr>
            <w:tcW w:w="2207" w:type="dxa"/>
            <w:tcBorders>
              <w:top w:val="nil"/>
              <w:left w:val="nil"/>
              <w:bottom w:val="single" w:sz="4" w:space="0" w:color="auto"/>
              <w:right w:val="single" w:sz="4" w:space="0" w:color="auto"/>
            </w:tcBorders>
            <w:vAlign w:val="center"/>
          </w:tcPr>
          <w:p>
            <w:pPr>
              <w:snapToGrid/>
              <w:spacing w:before="0" w:beforeAutospacing="0" w:after="0" w:afterAutospacing="0" w:line="240" w:lineRule="exact"/>
              <w:jc w:val="both"/>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部门（单位）本年度“三公经费”实际支出数与预算安排数的比率，用以反映和考核对“三公经费”的实际控制程度。</w:t>
            </w:r>
          </w:p>
        </w:tc>
        <w:tc>
          <w:tcPr>
            <w:tcW w:w="2967" w:type="dxa"/>
            <w:tcBorders>
              <w:top w:val="nil"/>
              <w:left w:val="nil"/>
              <w:bottom w:val="single" w:sz="4" w:space="0" w:color="auto"/>
              <w:right w:val="single" w:sz="4" w:space="0" w:color="auto"/>
            </w:tcBorders>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“三公经费”控制率=（“三公经费”实际支出数/“三公经费”预算数）×100%。</w:t>
            </w:r>
          </w:p>
        </w:tc>
        <w:tc>
          <w:tcPr>
            <w:tcW w:w="1134" w:type="dxa"/>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both"/>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≤100%：5分；每增加1%的“三公经费”扣1分，扣完为止</w:t>
            </w:r>
          </w:p>
        </w:tc>
        <w:tc>
          <w:tcPr>
            <w:tcW w:w="614" w:type="dxa"/>
            <w:tcBorders>
              <w:top w:val="nil"/>
              <w:left w:val="nil"/>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rFonts w:eastAsia="宋体" w:hint="eastAsia"/>
                <w:b w:val="0"/>
                <w:i w:val="0"/>
                <w:caps w:val="0"/>
                <w:smallCaps w:val="0"/>
                <w:color w:val="000000"/>
                <w:spacing w:val="0"/>
                <w:w w:val="100"/>
                <w:kern w:val="0"/>
                <w:sz w:val="15"/>
                <w:szCs w:val="15"/>
                <w:lang w:eastAsia="zh-CN"/>
              </w:rPr>
            </w:pPr>
            <w:r>
              <w:rPr>
                <w:rFonts w:cs="Times New Roman" w:hint="eastAsia"/>
                <w:b w:val="0"/>
                <w:i w:val="0"/>
                <w:caps w:val="0"/>
                <w:smallCaps w:val="0"/>
                <w:color w:val="000000"/>
                <w:spacing w:val="0"/>
                <w:w w:val="100"/>
                <w:kern w:val="0"/>
                <w:sz w:val="15"/>
                <w:szCs w:val="15"/>
                <w:lang w:val="en-US" w:eastAsia="zh-CN"/>
              </w:rPr>
              <w:t>4</w:t>
            </w:r>
          </w:p>
        </w:tc>
      </w:tr>
      <w:tr>
        <w:trPr>
          <w:trHeight w:val="825"/>
        </w:trPr>
        <w:tc>
          <w:tcPr>
            <w:tcW w:w="775" w:type="dxa"/>
            <w:vMerge/>
            <w:tcBorders>
              <w:top w:val="single" w:sz="4" w:space="0" w:color="auto"/>
              <w:left w:val="single" w:sz="4" w:space="0" w:color="auto"/>
              <w:bottom w:val="single" w:sz="4" w:space="0" w:color="auto"/>
              <w:right w:val="single" w:sz="4" w:space="0" w:color="auto"/>
            </w:tcBorders>
            <w:vAlign w:val="center"/>
          </w:tcPr>
          <w:p/>
        </w:tc>
        <w:tc>
          <w:tcPr>
            <w:tcW w:w="770" w:type="dxa"/>
            <w:tcBorders>
              <w:top w:val="single" w:sz="4" w:space="0" w:color="auto"/>
              <w:left w:val="single" w:sz="4" w:space="0" w:color="auto"/>
              <w:bottom w:val="single" w:sz="4" w:space="0" w:color="auto"/>
              <w:right w:val="single" w:sz="4" w:space="0" w:color="auto"/>
            </w:tcBorders>
            <w:vAlign w:val="center"/>
          </w:tcPr>
          <w:p>
            <w:pPr>
              <w:snapToGrid/>
              <w:jc w:val="center"/>
              <w:textAlignment w:val="baseline"/>
              <w:rPr>
                <w:b w:val="0"/>
                <w:i w:val="0"/>
                <w:caps w:val="0"/>
                <w:smallCaps w:val="0"/>
                <w:color w:val="000000"/>
                <w:spacing w:val="0"/>
                <w:w w:val="100"/>
                <w:kern w:val="0"/>
                <w:sz w:val="15"/>
                <w:szCs w:val="15"/>
              </w:rPr>
            </w:pPr>
          </w:p>
        </w:tc>
        <w:tc>
          <w:tcPr>
            <w:tcW w:w="707" w:type="dxa"/>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政府采购执行率</w:t>
            </w:r>
          </w:p>
        </w:tc>
        <w:tc>
          <w:tcPr>
            <w:tcW w:w="477" w:type="dxa"/>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3</w:t>
            </w:r>
          </w:p>
        </w:tc>
        <w:tc>
          <w:tcPr>
            <w:tcW w:w="2207" w:type="dxa"/>
            <w:tcBorders>
              <w:top w:val="single" w:sz="4" w:space="0" w:color="auto"/>
              <w:left w:val="nil"/>
              <w:bottom w:val="single" w:sz="4" w:space="0" w:color="000000"/>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部门（单位）本年度实际政府采购金额与年初政府采购预算的比率，用以反映和考核政府采购预算执行情况。</w:t>
            </w:r>
          </w:p>
        </w:tc>
        <w:tc>
          <w:tcPr>
            <w:tcW w:w="2967" w:type="dxa"/>
            <w:tcBorders>
              <w:top w:val="single" w:sz="4" w:space="0" w:color="auto"/>
              <w:left w:val="nil"/>
              <w:bottom w:val="single" w:sz="4" w:space="0" w:color="000000"/>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政府采购执行率=（实际政府采购金额/政府采购预算数）×100%。政府采购预算：采购机关根据事业发展计划和行政任务编制的、并经过规定程序批准的年度政府采购计划</w:t>
            </w:r>
          </w:p>
        </w:tc>
        <w:tc>
          <w:tcPr>
            <w:tcW w:w="1134" w:type="dxa"/>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90%-110%:3分；每超过（降低）10%的波动扣0.5分，扣完为止</w:t>
            </w:r>
          </w:p>
        </w:tc>
        <w:tc>
          <w:tcPr>
            <w:tcW w:w="614" w:type="dxa"/>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rFonts w:eastAsia="宋体"/>
                <w:b w:val="0"/>
                <w:i w:val="0"/>
                <w:caps w:val="0"/>
                <w:smallCaps w:val="0"/>
                <w:color w:val="000000"/>
                <w:spacing w:val="0"/>
                <w:w w:val="100"/>
                <w:kern w:val="0"/>
                <w:sz w:val="15"/>
                <w:szCs w:val="15"/>
                <w:lang w:val="en-US" w:eastAsia="zh-CN"/>
              </w:rPr>
            </w:pPr>
            <w:r>
              <w:rPr>
                <w:rFonts w:hint="eastAsia"/>
                <w:b w:val="0"/>
                <w:i w:val="0"/>
                <w:caps w:val="0"/>
                <w:smallCaps w:val="0"/>
                <w:color w:val="000000"/>
                <w:spacing w:val="0"/>
                <w:w w:val="100"/>
                <w:kern w:val="0"/>
                <w:sz w:val="15"/>
                <w:szCs w:val="15"/>
                <w:lang w:val="en-US" w:eastAsia="zh-CN"/>
              </w:rPr>
              <w:t>1</w:t>
            </w:r>
          </w:p>
        </w:tc>
      </w:tr>
      <w:tr>
        <w:trPr>
          <w:trHeight w:hRule="exact" w:val="1928"/>
        </w:trPr>
        <w:tc>
          <w:tcPr>
            <w:tcW w:w="775" w:type="dxa"/>
            <w:vMerge/>
            <w:tcBorders>
              <w:top w:val="single" w:sz="4" w:space="0" w:color="auto"/>
              <w:left w:val="single" w:sz="4" w:space="0" w:color="auto"/>
              <w:bottom w:val="single" w:sz="4" w:space="0" w:color="auto"/>
              <w:right w:val="single" w:sz="4" w:space="0" w:color="auto"/>
            </w:tcBorders>
            <w:vAlign w:val="center"/>
          </w:tcPr>
          <w:p/>
        </w:tc>
        <w:tc>
          <w:tcPr>
            <w:tcW w:w="770" w:type="dxa"/>
            <w:vMerge w:val="restart"/>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预算</w:t>
            </w:r>
          </w:p>
          <w:p>
            <w:pPr>
              <w:widowControl/>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管理</w:t>
            </w:r>
          </w:p>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（18分）</w:t>
            </w:r>
          </w:p>
        </w:tc>
        <w:tc>
          <w:tcPr>
            <w:tcW w:w="707" w:type="dxa"/>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0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管理制度健全性</w:t>
            </w:r>
          </w:p>
        </w:tc>
        <w:tc>
          <w:tcPr>
            <w:tcW w:w="477" w:type="dxa"/>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5</w:t>
            </w:r>
          </w:p>
        </w:tc>
        <w:tc>
          <w:tcPr>
            <w:tcW w:w="2207" w:type="dxa"/>
            <w:tcBorders>
              <w:top w:val="single" w:sz="4" w:space="0" w:color="000000"/>
              <w:left w:val="single" w:sz="4" w:space="0" w:color="auto"/>
              <w:bottom w:val="single" w:sz="4" w:space="0" w:color="000000"/>
              <w:right w:val="single" w:sz="4" w:space="0" w:color="000000"/>
            </w:tcBorders>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部门（单位）为加强预算管理、规范财务行为而制定的管理制度是否健全完整，用以反映和考核预算管理制度对完成主要职责或促进事业发展的保障情况。</w:t>
            </w:r>
          </w:p>
        </w:tc>
        <w:tc>
          <w:tcPr>
            <w:tcW w:w="2967" w:type="dxa"/>
            <w:tcBorders>
              <w:top w:val="single" w:sz="4" w:space="0" w:color="000000"/>
              <w:left w:val="single" w:sz="4" w:space="0" w:color="auto"/>
              <w:bottom w:val="single" w:sz="4" w:space="0" w:color="000000"/>
              <w:right w:val="single" w:sz="4" w:space="0" w:color="000000"/>
            </w:tcBorders>
          </w:tcPr>
          <w:p>
            <w:pPr>
              <w:snapToGrid/>
              <w:spacing w:before="0" w:beforeAutospacing="0" w:after="0" w:afterAutospacing="0" w:line="240" w:lineRule="exact"/>
              <w:jc w:val="both"/>
              <w:textAlignment w:val="baseline"/>
              <w:rPr>
                <w:b w:val="0"/>
                <w:i w:val="0"/>
                <w:caps w:val="0"/>
                <w:smallCaps w:val="0"/>
                <w:color w:val="000000"/>
                <w:spacing w:val="0"/>
                <w:w w:val="100"/>
                <w:sz w:val="20"/>
              </w:rPr>
            </w:pPr>
            <w:r>
              <w:rPr>
                <w:b w:val="0"/>
                <w:i w:val="0"/>
                <w:caps w:val="0"/>
                <w:smallCaps w:val="0"/>
                <w:color w:val="000000"/>
                <w:spacing w:val="0"/>
                <w:w w:val="100"/>
                <w:kern w:val="0"/>
                <w:sz w:val="15"/>
                <w:szCs w:val="15"/>
              </w:rPr>
              <w:t>评价要点：</w:t>
              <w:br/>
              <w:t>①是否已制定或具有预算资金管理办法、内部财务管理制度、会计核算制度制度、资产管理制度、公务用车管理制度等管理制度；</w:t>
              <w:br/>
              <w:t>②相关管理制度是否合法、合规、完整；</w:t>
              <w:br/>
              <w:t>③相关管理制度是否得到有效执行。</w:t>
            </w:r>
          </w:p>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p>
        </w:tc>
        <w:tc>
          <w:tcPr>
            <w:tcW w:w="1134" w:type="dxa"/>
            <w:tcBorders>
              <w:top w:val="single" w:sz="4" w:space="0" w:color="auto"/>
              <w:left w:val="single" w:sz="4" w:space="0" w:color="000000"/>
              <w:bottom w:val="single" w:sz="4" w:space="0" w:color="auto"/>
              <w:right w:val="single" w:sz="4" w:space="0" w:color="auto"/>
            </w:tcBorders>
            <w:vAlign w:val="center"/>
          </w:tcPr>
          <w:p>
            <w:pPr>
              <w:widowControl/>
              <w:snapToGrid/>
              <w:spacing w:before="0" w:beforeAutospacing="0" w:after="0" w:afterAutospacing="0" w:line="240" w:lineRule="auto"/>
              <w:jc w:val="both"/>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健全：5分；比较健全：3分；不健全：0分</w:t>
            </w:r>
          </w:p>
        </w:tc>
        <w:tc>
          <w:tcPr>
            <w:tcW w:w="614" w:type="dxa"/>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rFonts w:ascii="Times New Roman" w:eastAsia="宋体" w:cs="Times New Roman" w:hAnsi="Times New Roman" w:hint="eastAsia"/>
                <w:b w:val="0"/>
                <w:i w:val="0"/>
                <w:caps w:val="0"/>
                <w:smallCaps w:val="0"/>
                <w:color w:val="000000"/>
                <w:spacing w:val="0"/>
                <w:w w:val="100"/>
                <w:kern w:val="0"/>
                <w:sz w:val="15"/>
                <w:szCs w:val="15"/>
              </w:rPr>
              <w:t>5</w:t>
            </w:r>
          </w:p>
        </w:tc>
      </w:tr>
      <w:tr>
        <w:trPr>
          <w:trHeight w:hRule="exact" w:val="2608"/>
        </w:trPr>
        <w:tc>
          <w:tcPr>
            <w:tcW w:w="775" w:type="dxa"/>
            <w:vMerge/>
            <w:tcBorders>
              <w:top w:val="single" w:sz="4" w:space="0" w:color="auto"/>
              <w:left w:val="single" w:sz="4" w:space="0" w:color="auto"/>
              <w:bottom w:val="single" w:sz="4" w:space="0" w:color="auto"/>
              <w:right w:val="single" w:sz="4" w:space="0" w:color="auto"/>
            </w:tcBorders>
            <w:vAlign w:val="center"/>
          </w:tcPr>
          <w:p/>
        </w:tc>
        <w:tc>
          <w:tcPr>
            <w:tcW w:w="770" w:type="dxa"/>
            <w:vMerge/>
            <w:tcBorders>
              <w:left w:val="single" w:sz="4" w:space="0" w:color="auto"/>
              <w:bottom w:val="single" w:sz="4" w:space="0" w:color="auto"/>
              <w:right w:val="single" w:sz="4" w:space="0" w:color="auto"/>
            </w:tcBorders>
            <w:vAlign w:val="center"/>
          </w:tcPr>
          <w:p/>
        </w:tc>
        <w:tc>
          <w:tcPr>
            <w:tcW w:w="707"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0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资金使用合规性</w:t>
            </w:r>
          </w:p>
        </w:tc>
        <w:tc>
          <w:tcPr>
            <w:tcW w:w="477"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5</w:t>
            </w:r>
          </w:p>
        </w:tc>
        <w:tc>
          <w:tcPr>
            <w:tcW w:w="2207" w:type="dxa"/>
            <w:tcBorders>
              <w:top w:val="nil"/>
              <w:left w:val="single" w:sz="4" w:space="0" w:color="auto"/>
              <w:bottom w:val="single" w:sz="4" w:space="0" w:color="000000"/>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部门（单位）使用预算资金是否符合相关的预算财务管理制度的规定，用以反映和考核预算资金的规范运行情况。</w:t>
            </w:r>
          </w:p>
        </w:tc>
        <w:tc>
          <w:tcPr>
            <w:tcW w:w="2967" w:type="dxa"/>
            <w:tcBorders>
              <w:top w:val="nil"/>
              <w:left w:val="single" w:sz="4" w:space="0" w:color="auto"/>
              <w:bottom w:val="single" w:sz="4" w:space="0" w:color="000000"/>
              <w:right w:val="single" w:sz="4" w:space="0" w:color="auto"/>
            </w:tcBorders>
          </w:tcPr>
          <w:p>
            <w:pPr>
              <w:snapToGrid/>
              <w:spacing w:before="0" w:beforeAutospacing="0" w:after="0" w:afterAutospacing="0" w:line="240" w:lineRule="exact"/>
              <w:jc w:val="both"/>
              <w:textAlignment w:val="baseline"/>
              <w:rPr>
                <w:b w:val="0"/>
                <w:i w:val="0"/>
                <w:caps w:val="0"/>
                <w:smallCaps w:val="0"/>
                <w:color w:val="000000"/>
                <w:spacing w:val="0"/>
                <w:w w:val="100"/>
                <w:sz w:val="20"/>
              </w:rPr>
            </w:pPr>
            <w:r>
              <w:rPr>
                <w:b w:val="0"/>
                <w:i w:val="0"/>
                <w:caps w:val="0"/>
                <w:smallCaps w:val="0"/>
                <w:color w:val="000000"/>
                <w:spacing w:val="0"/>
                <w:w w:val="100"/>
                <w:kern w:val="0"/>
                <w:sz w:val="15"/>
                <w:szCs w:val="15"/>
              </w:rPr>
              <w:t>评价要点：</w:t>
              <w:br/>
              <w:t>①是否符合国家财经法规和财务管理制度规定以及有关专项资金管理办法的规定；</w:t>
              <w:br/>
              <w:t>②资金的拨付是否有完整的审批程序和手续；</w:t>
              <w:br/>
              <w:t>③项目的重大开支是否经过评估论证；</w:t>
              <w:br/>
              <w:t>④是否符合部门预算批复的用途；</w:t>
              <w:br/>
              <w:t>⑤是否存在截留、挤占、挪用、虚列支出等情况。</w:t>
            </w:r>
          </w:p>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p>
        </w:tc>
        <w:tc>
          <w:tcPr>
            <w:tcW w:w="1134"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both"/>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完全合规：5分；其它按照以上5个要点，有1点未达到扣1分，扣完为止</w:t>
            </w:r>
          </w:p>
        </w:tc>
        <w:tc>
          <w:tcPr>
            <w:tcW w:w="614"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rFonts w:ascii="Times New Roman" w:eastAsia="宋体" w:cs="Times New Roman" w:hAnsi="Times New Roman" w:hint="eastAsia"/>
                <w:b w:val="0"/>
                <w:i w:val="0"/>
                <w:caps w:val="0"/>
                <w:smallCaps w:val="0"/>
                <w:color w:val="000000"/>
                <w:spacing w:val="0"/>
                <w:w w:val="100"/>
                <w:kern w:val="0"/>
                <w:sz w:val="15"/>
                <w:szCs w:val="15"/>
              </w:rPr>
              <w:t>5</w:t>
            </w:r>
          </w:p>
        </w:tc>
      </w:tr>
      <w:tr>
        <w:trPr>
          <w:trHeight w:hRule="exact" w:val="2157"/>
        </w:trPr>
        <w:tc>
          <w:tcPr>
            <w:tcW w:w="775" w:type="dxa"/>
            <w:vMerge/>
            <w:tcBorders>
              <w:top w:val="single" w:sz="4" w:space="0" w:color="auto"/>
              <w:left w:val="single" w:sz="4" w:space="0" w:color="auto"/>
              <w:bottom w:val="single" w:sz="4" w:space="0" w:color="auto"/>
              <w:right w:val="single" w:sz="4" w:space="0" w:color="auto"/>
            </w:tcBorders>
            <w:vAlign w:val="center"/>
          </w:tcPr>
          <w:p/>
        </w:tc>
        <w:tc>
          <w:tcPr>
            <w:tcW w:w="770" w:type="dxa"/>
            <w:vMerge/>
            <w:tcBorders>
              <w:left w:val="single" w:sz="4" w:space="0" w:color="auto"/>
              <w:bottom w:val="single" w:sz="4" w:space="0" w:color="auto"/>
              <w:right w:val="single" w:sz="4" w:space="0" w:color="auto"/>
            </w:tcBorders>
            <w:vAlign w:val="center"/>
          </w:tcPr>
          <w:p/>
        </w:tc>
        <w:tc>
          <w:tcPr>
            <w:tcW w:w="707"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0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预决算信息公开及完整性</w:t>
            </w:r>
          </w:p>
        </w:tc>
        <w:tc>
          <w:tcPr>
            <w:tcW w:w="477" w:type="dxa"/>
            <w:tcBorders>
              <w:top w:val="nil"/>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5</w:t>
            </w:r>
          </w:p>
        </w:tc>
        <w:tc>
          <w:tcPr>
            <w:tcW w:w="2207" w:type="dxa"/>
            <w:tcBorders>
              <w:top w:val="nil"/>
              <w:left w:val="nil"/>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部门（单位）是否按照政府信息公开有关规定公开相关预决算信息，基础信息是否完善，用以反映和考核预决算管理的公开透明情况。</w:t>
            </w:r>
          </w:p>
        </w:tc>
        <w:tc>
          <w:tcPr>
            <w:tcW w:w="2967" w:type="dxa"/>
            <w:tcBorders>
              <w:top w:val="nil"/>
              <w:left w:val="nil"/>
              <w:bottom w:val="single" w:sz="4" w:space="0" w:color="auto"/>
              <w:right w:val="single" w:sz="4" w:space="0" w:color="auto"/>
            </w:tcBorders>
            <w:vAlign w:val="center"/>
          </w:tcPr>
          <w:p>
            <w:pPr>
              <w:snapToGrid/>
              <w:spacing w:before="0" w:beforeAutospacing="0" w:after="0" w:afterAutospacing="0" w:line="240" w:lineRule="exact"/>
              <w:jc w:val="both"/>
              <w:textAlignment w:val="baseline"/>
              <w:rPr>
                <w:b w:val="0"/>
                <w:i w:val="0"/>
                <w:caps w:val="0"/>
                <w:smallCaps w:val="0"/>
                <w:color w:val="000000"/>
                <w:spacing w:val="0"/>
                <w:w w:val="100"/>
                <w:sz w:val="20"/>
              </w:rPr>
            </w:pPr>
            <w:r>
              <w:rPr>
                <w:b w:val="0"/>
                <w:i w:val="0"/>
                <w:caps w:val="0"/>
                <w:smallCaps w:val="0"/>
                <w:color w:val="000000"/>
                <w:spacing w:val="0"/>
                <w:w w:val="100"/>
                <w:kern w:val="0"/>
                <w:sz w:val="15"/>
                <w:szCs w:val="15"/>
              </w:rPr>
              <w:t>评价要点：</w:t>
              <w:br/>
              <w:t>①是否按规定内容公开预决算信息；</w:t>
              <w:br/>
              <w:t>②是否按规定时限公开预决算信息。 ③基础数据信息和会计信息资料是否真实；</w:t>
              <w:br/>
              <w:t>④基础数据信息和会计信息资料是否完整；</w:t>
              <w:br/>
              <w:t>⑤基础数据信息和会计信息资料是否准确。</w:t>
            </w:r>
          </w:p>
        </w:tc>
        <w:tc>
          <w:tcPr>
            <w:tcW w:w="1134" w:type="dxa"/>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5个要点实现每实现1个得1分</w:t>
            </w:r>
          </w:p>
        </w:tc>
        <w:tc>
          <w:tcPr>
            <w:tcW w:w="614" w:type="dxa"/>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rFonts w:ascii="Times New Roman" w:eastAsia="宋体" w:cs="Times New Roman" w:hAnsi="Times New Roman" w:hint="eastAsia"/>
                <w:b w:val="0"/>
                <w:i w:val="0"/>
                <w:caps w:val="0"/>
                <w:smallCaps w:val="0"/>
                <w:color w:val="000000"/>
                <w:spacing w:val="0"/>
                <w:w w:val="100"/>
                <w:kern w:val="0"/>
                <w:sz w:val="15"/>
                <w:szCs w:val="15"/>
              </w:rPr>
              <w:t>5</w:t>
            </w:r>
          </w:p>
        </w:tc>
      </w:tr>
      <w:tr>
        <w:trPr>
          <w:trHeight w:hRule="exact" w:val="1287"/>
        </w:trPr>
        <w:tc>
          <w:tcPr>
            <w:tcW w:w="775" w:type="dxa"/>
            <w:vMerge/>
            <w:tcBorders>
              <w:top w:val="single" w:sz="4" w:space="0" w:color="auto"/>
              <w:left w:val="single" w:sz="4" w:space="0" w:color="auto"/>
              <w:bottom w:val="single" w:sz="4" w:space="0" w:color="auto"/>
              <w:right w:val="single" w:sz="4" w:space="0" w:color="auto"/>
            </w:tcBorders>
            <w:vAlign w:val="center"/>
          </w:tcPr>
          <w:p/>
        </w:tc>
        <w:tc>
          <w:tcPr>
            <w:tcW w:w="770" w:type="dxa"/>
            <w:vMerge/>
            <w:tcBorders>
              <w:left w:val="single" w:sz="4" w:space="0" w:color="auto"/>
              <w:bottom w:val="single" w:sz="4" w:space="0" w:color="auto"/>
              <w:right w:val="single" w:sz="4" w:space="0" w:color="auto"/>
            </w:tcBorders>
            <w:vAlign w:val="center"/>
          </w:tcPr>
          <w:p/>
        </w:tc>
        <w:tc>
          <w:tcPr>
            <w:tcW w:w="707" w:type="dxa"/>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0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资产管理安全性</w:t>
            </w:r>
          </w:p>
        </w:tc>
        <w:tc>
          <w:tcPr>
            <w:tcW w:w="477" w:type="dxa"/>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00" w:lineRule="exact"/>
              <w:ind w:firstLineChars="50" w:firstLine="75"/>
              <w:jc w:val="both"/>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3</w:t>
            </w:r>
          </w:p>
        </w:tc>
        <w:tc>
          <w:tcPr>
            <w:tcW w:w="2207" w:type="dxa"/>
            <w:tcBorders>
              <w:top w:val="single" w:sz="4" w:space="0" w:color="auto"/>
              <w:left w:val="nil"/>
              <w:bottom w:val="single" w:sz="4" w:space="0" w:color="auto"/>
              <w:right w:val="single" w:sz="4" w:space="0" w:color="auto"/>
            </w:tcBorders>
            <w:vAlign w:val="center"/>
          </w:tcPr>
          <w:p>
            <w:pPr>
              <w:snapToGrid/>
              <w:spacing w:before="0" w:beforeAutospacing="0" w:after="0" w:afterAutospacing="0" w:line="240" w:lineRule="exact"/>
              <w:jc w:val="both"/>
              <w:textAlignment w:val="baseline"/>
              <w:rPr>
                <w:b w:val="0"/>
                <w:i w:val="0"/>
                <w:caps w:val="0"/>
                <w:smallCaps w:val="0"/>
                <w:color w:val="000000"/>
                <w:spacing w:val="0"/>
                <w:w w:val="100"/>
                <w:sz w:val="20"/>
              </w:rPr>
            </w:pPr>
            <w:r>
              <w:rPr>
                <w:b w:val="0"/>
                <w:i w:val="0"/>
                <w:caps w:val="0"/>
                <w:smallCaps w:val="0"/>
                <w:color w:val="000000"/>
                <w:spacing w:val="0"/>
                <w:w w:val="100"/>
                <w:kern w:val="0"/>
                <w:sz w:val="15"/>
                <w:szCs w:val="15"/>
              </w:rPr>
              <w:t>部门（单位）的资产是否保存完整、使用合规、配置合理、处置规范、收入及时足额上缴，用以反映和考核资产安全运行情况。</w:t>
            </w:r>
          </w:p>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p>
        </w:tc>
        <w:tc>
          <w:tcPr>
            <w:tcW w:w="2967" w:type="dxa"/>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评价要点：</w:t>
              <w:br/>
              <w:t>①资产保存是否完整；</w:t>
              <w:br/>
              <w:t>②资产配置是否合理；</w:t>
              <w:br/>
              <w:t>③资产处置是否规范；</w:t>
              <w:br/>
              <w:t>④资产账务管理是否合规，是否帐实相符；</w:t>
              <w:br/>
              <w:t>⑤资产是否有偿使用及处置收入及时足额上缴。</w:t>
            </w:r>
          </w:p>
        </w:tc>
        <w:tc>
          <w:tcPr>
            <w:tcW w:w="1134" w:type="dxa"/>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5个要点均实现：3分；有1点未达到扣1分，扣完为止</w:t>
            </w:r>
          </w:p>
        </w:tc>
        <w:tc>
          <w:tcPr>
            <w:tcW w:w="614" w:type="dxa"/>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rFonts w:ascii="Times New Roman" w:eastAsia="宋体" w:cs="Times New Roman" w:hAnsi="Times New Roman" w:hint="eastAsia"/>
                <w:b w:val="0"/>
                <w:i w:val="0"/>
                <w:caps w:val="0"/>
                <w:smallCaps w:val="0"/>
                <w:color w:val="000000"/>
                <w:spacing w:val="0"/>
                <w:w w:val="100"/>
                <w:kern w:val="0"/>
                <w:sz w:val="15"/>
                <w:szCs w:val="15"/>
              </w:rPr>
              <w:t>3</w:t>
            </w:r>
          </w:p>
        </w:tc>
      </w:tr>
      <w:tr>
        <w:trPr>
          <w:trHeight w:hRule="exact" w:val="2202"/>
        </w:trPr>
        <w:tc>
          <w:tcPr>
            <w:tcW w:w="775" w:type="dxa"/>
            <w:vMerge w:val="restart"/>
            <w:tcBorders>
              <w:top w:val="single" w:sz="4" w:space="0" w:color="auto"/>
              <w:left w:val="single" w:sz="4" w:space="0" w:color="auto"/>
              <w:bottom w:val="single" w:sz="4" w:space="0" w:color="auto"/>
              <w:right w:val="single" w:sz="4" w:space="0" w:color="auto"/>
            </w:tcBorders>
            <w:vAlign w:val="center"/>
          </w:tcPr>
          <w:p>
            <w:pPr>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产出</w:t>
            </w:r>
          </w:p>
          <w:p>
            <w:pPr>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（10分）</w:t>
            </w:r>
          </w:p>
        </w:tc>
        <w:tc>
          <w:tcPr>
            <w:tcW w:w="770" w:type="dxa"/>
            <w:vMerge w:val="restart"/>
            <w:tcBorders>
              <w:top w:val="single" w:sz="4" w:space="0" w:color="auto"/>
              <w:left w:val="nil"/>
              <w:right w:val="nil"/>
            </w:tcBorders>
            <w:vAlign w:val="center"/>
          </w:tcPr>
          <w:p>
            <w:pPr>
              <w:snapToGrid/>
              <w:spacing w:before="0" w:beforeAutospacing="0" w:after="0" w:afterAutospacing="0" w:line="20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职责</w:t>
            </w:r>
          </w:p>
          <w:p>
            <w:pPr>
              <w:snapToGrid/>
              <w:spacing w:before="0" w:beforeAutospacing="0" w:after="0" w:afterAutospacing="0" w:line="20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履行</w:t>
            </w:r>
          </w:p>
          <w:p>
            <w:pPr>
              <w:snapToGrid/>
              <w:spacing w:before="0" w:beforeAutospacing="0" w:after="0" w:afterAutospacing="0" w:line="20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（10分）</w:t>
            </w:r>
          </w:p>
        </w:tc>
        <w:tc>
          <w:tcPr>
            <w:tcW w:w="707" w:type="dxa"/>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0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工作实际完成率</w:t>
            </w:r>
          </w:p>
        </w:tc>
        <w:tc>
          <w:tcPr>
            <w:tcW w:w="477" w:type="dxa"/>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0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5</w:t>
            </w:r>
          </w:p>
        </w:tc>
        <w:tc>
          <w:tcPr>
            <w:tcW w:w="2207" w:type="dxa"/>
            <w:tcBorders>
              <w:top w:val="single" w:sz="4" w:space="0" w:color="auto"/>
              <w:left w:val="nil"/>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部门（单位）履行职责而实际完成工作数与计划工作数的比率，用以反映和考核履职工作任务目标的实现程度。</w:t>
            </w:r>
          </w:p>
        </w:tc>
        <w:tc>
          <w:tcPr>
            <w:tcW w:w="2967" w:type="dxa"/>
            <w:tcBorders>
              <w:top w:val="single" w:sz="4" w:space="0" w:color="auto"/>
              <w:left w:val="nil"/>
              <w:right w:val="single" w:sz="4" w:space="0" w:color="auto"/>
            </w:tcBorders>
            <w:vAlign w:val="center"/>
          </w:tcPr>
          <w:p>
            <w:pPr>
              <w:snapToGrid/>
              <w:spacing w:before="0" w:beforeAutospacing="0" w:after="0" w:afterAutospacing="0" w:line="240" w:lineRule="exact"/>
              <w:jc w:val="both"/>
              <w:textAlignment w:val="baseline"/>
              <w:rPr>
                <w:b w:val="0"/>
                <w:i w:val="0"/>
                <w:caps w:val="0"/>
                <w:smallCaps w:val="0"/>
                <w:color w:val="000000"/>
                <w:spacing w:val="0"/>
                <w:w w:val="100"/>
                <w:sz w:val="20"/>
              </w:rPr>
            </w:pPr>
            <w:r>
              <w:rPr>
                <w:b w:val="0"/>
                <w:i w:val="0"/>
                <w:caps w:val="0"/>
                <w:smallCaps w:val="0"/>
                <w:color w:val="000000"/>
                <w:spacing w:val="0"/>
                <w:w w:val="100"/>
                <w:kern w:val="0"/>
                <w:sz w:val="15"/>
                <w:szCs w:val="15"/>
              </w:rPr>
              <w:t>实际完成率=（实际完成工作数/计划工作数）×100%。</w:t>
              <w:br/>
              <w:t>实际完成工作数：一定时期（年度或规划期）内部门（单位）实际完成工作任务的数量。计划工作数：部门（单位）整体绩效目标确定的一定时期（年度或规划期）内预计完成工作任务的数量。</w:t>
            </w:r>
          </w:p>
          <w:p>
            <w:pPr>
              <w:widowControl/>
              <w:snapToGrid/>
              <w:spacing w:before="0" w:beforeAutospacing="0" w:after="0" w:afterAutospacing="0" w:line="240" w:lineRule="auto"/>
              <w:jc w:val="both"/>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br/>
            </w:r>
          </w:p>
        </w:tc>
        <w:tc>
          <w:tcPr>
            <w:tcW w:w="1134" w:type="dxa"/>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全部完成年度目标得5分，按年度目标的未完成任务百分比酌情扣分，扣完为止</w:t>
            </w:r>
          </w:p>
        </w:tc>
        <w:tc>
          <w:tcPr>
            <w:tcW w:w="614" w:type="dxa"/>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rFonts w:ascii="Times New Roman" w:eastAsia="宋体" w:cs="Times New Roman" w:hAnsi="Times New Roman" w:hint="eastAsia"/>
                <w:b w:val="0"/>
                <w:i w:val="0"/>
                <w:caps w:val="0"/>
                <w:smallCaps w:val="0"/>
                <w:color w:val="000000"/>
                <w:spacing w:val="0"/>
                <w:w w:val="100"/>
                <w:kern w:val="0"/>
                <w:sz w:val="15"/>
                <w:szCs w:val="15"/>
              </w:rPr>
              <w:t>5</w:t>
            </w:r>
          </w:p>
        </w:tc>
      </w:tr>
      <w:tr>
        <w:trPr>
          <w:trHeight w:hRule="exact" w:val="1232"/>
        </w:trPr>
        <w:tc>
          <w:tcPr>
            <w:tcW w:w="775" w:type="dxa"/>
            <w:vMerge/>
            <w:tcBorders>
              <w:top w:val="single" w:sz="4" w:space="0" w:color="auto"/>
              <w:left w:val="single" w:sz="4" w:space="0" w:color="auto"/>
              <w:bottom w:val="single" w:sz="4" w:space="0" w:color="auto"/>
              <w:right w:val="single" w:sz="4" w:space="0" w:color="auto"/>
            </w:tcBorders>
            <w:vAlign w:val="center"/>
          </w:tcPr>
          <w:p/>
        </w:tc>
        <w:tc>
          <w:tcPr>
            <w:tcW w:w="770" w:type="dxa"/>
            <w:vMerge/>
            <w:tcBorders>
              <w:left w:val="nil"/>
              <w:bottom w:val="nil"/>
              <w:right w:val="nil"/>
            </w:tcBorders>
            <w:vAlign w:val="center"/>
          </w:tcPr>
          <w:p/>
        </w:tc>
        <w:tc>
          <w:tcPr>
            <w:tcW w:w="707" w:type="dxa"/>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0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重点工作实际完成率</w:t>
            </w:r>
          </w:p>
        </w:tc>
        <w:tc>
          <w:tcPr>
            <w:tcW w:w="477" w:type="dxa"/>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5</w:t>
            </w:r>
          </w:p>
        </w:tc>
        <w:tc>
          <w:tcPr>
            <w:tcW w:w="2207" w:type="dxa"/>
            <w:tcBorders>
              <w:top w:val="single" w:sz="4" w:space="0" w:color="auto"/>
              <w:left w:val="nil"/>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部门（单位）年度重点工作实际完成数与交办或下达数的比率，用以反映对重点工作的办理落实程度。</w:t>
            </w:r>
          </w:p>
        </w:tc>
        <w:tc>
          <w:tcPr>
            <w:tcW w:w="2967" w:type="dxa"/>
            <w:tcBorders>
              <w:top w:val="single" w:sz="4" w:space="0" w:color="auto"/>
              <w:left w:val="nil"/>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重点工作实际完成率=（重点工作实际完成数/交办或下达数）×100%。</w:t>
            </w:r>
          </w:p>
        </w:tc>
        <w:tc>
          <w:tcPr>
            <w:tcW w:w="1134" w:type="dxa"/>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根据绩效办对各部门为民办实事和部门重点工程与重点工作考核分数折算。</w:t>
            </w:r>
          </w:p>
        </w:tc>
        <w:tc>
          <w:tcPr>
            <w:tcW w:w="614" w:type="dxa"/>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rFonts w:ascii="Times New Roman" w:eastAsia="宋体" w:cs="Times New Roman" w:hAnsi="Times New Roman" w:hint="eastAsia"/>
                <w:b w:val="0"/>
                <w:i w:val="0"/>
                <w:caps w:val="0"/>
                <w:smallCaps w:val="0"/>
                <w:color w:val="000000"/>
                <w:spacing w:val="0"/>
                <w:w w:val="100"/>
                <w:kern w:val="0"/>
                <w:sz w:val="15"/>
                <w:szCs w:val="15"/>
              </w:rPr>
              <w:t>5</w:t>
            </w:r>
          </w:p>
        </w:tc>
      </w:tr>
      <w:tr>
        <w:trPr>
          <w:trHeight w:val="375"/>
        </w:trPr>
        <w:tc>
          <w:tcPr>
            <w:tcW w:w="775" w:type="dxa"/>
            <w:vMerge w:val="restart"/>
            <w:tcBorders>
              <w:top w:val="single" w:sz="4" w:space="0" w:color="auto"/>
              <w:left w:val="single" w:sz="4" w:space="0" w:color="auto"/>
              <w:right w:val="single" w:sz="4" w:space="0" w:color="auto"/>
            </w:tcBorders>
            <w:vAlign w:val="center"/>
          </w:tcPr>
          <w:p>
            <w:pPr>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效率</w:t>
            </w:r>
          </w:p>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（30分）</w:t>
            </w:r>
          </w:p>
        </w:tc>
        <w:tc>
          <w:tcPr>
            <w:tcW w:w="770" w:type="dxa"/>
            <w:vMerge w:val="restart"/>
            <w:tcBorders>
              <w:top w:val="single" w:sz="4" w:space="0" w:color="auto"/>
              <w:left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履职</w:t>
            </w:r>
          </w:p>
          <w:p>
            <w:pPr>
              <w:widowControl/>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效益</w:t>
            </w:r>
          </w:p>
          <w:p>
            <w:pPr>
              <w:widowControl/>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（30分）</w:t>
            </w:r>
          </w:p>
        </w:tc>
        <w:tc>
          <w:tcPr>
            <w:tcW w:w="707" w:type="dxa"/>
            <w:tcBorders>
              <w:top w:val="nil"/>
              <w:left w:val="nil"/>
              <w:bottom w:val="single" w:sz="4" w:space="0" w:color="auto"/>
              <w:right w:val="single" w:sz="4" w:space="0" w:color="auto"/>
            </w:tcBorders>
            <w:vAlign w:val="center"/>
          </w:tcPr>
          <w:p>
            <w:pPr>
              <w:widowControl/>
              <w:snapToGrid/>
              <w:spacing w:before="0" w:beforeAutospacing="0" w:after="0" w:afterAutospacing="0" w:line="20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经济</w:t>
            </w:r>
          </w:p>
          <w:p>
            <w:pPr>
              <w:widowControl/>
              <w:snapToGrid/>
              <w:spacing w:before="0" w:beforeAutospacing="0" w:after="0" w:afterAutospacing="0" w:line="20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效益</w:t>
            </w:r>
          </w:p>
        </w:tc>
        <w:tc>
          <w:tcPr>
            <w:tcW w:w="477" w:type="dxa"/>
            <w:vMerge w:val="restart"/>
            <w:tcBorders>
              <w:top w:val="nil"/>
              <w:left w:val="single" w:sz="4" w:space="0" w:color="auto"/>
              <w:right w:val="single" w:sz="4" w:space="0" w:color="auto"/>
            </w:tcBorders>
            <w:vAlign w:val="center"/>
          </w:tcPr>
          <w:p>
            <w:pPr>
              <w:widowControl/>
              <w:snapToGrid/>
              <w:spacing w:before="0" w:beforeAutospacing="0" w:after="0" w:afterAutospacing="0" w:line="20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20</w:t>
            </w:r>
          </w:p>
        </w:tc>
        <w:tc>
          <w:tcPr>
            <w:tcW w:w="2207" w:type="dxa"/>
            <w:vMerge w:val="restart"/>
            <w:tcBorders>
              <w:top w:val="single" w:sz="4" w:space="0" w:color="auto"/>
              <w:left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此三项指标为设置部门整体支出绩效评价指标时必须考虑的共性要素，可根据部门实际情况有选择的进行设置，并将其细化为相应的个性化指标。</w:t>
            </w:r>
          </w:p>
        </w:tc>
        <w:tc>
          <w:tcPr>
            <w:tcW w:w="4101" w:type="dxa"/>
            <w:gridSpan w:val="2"/>
            <w:vMerge w:val="restart"/>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此项单位若没有产生“经济效益”和“生态效益”，社会效益从以下方面评价：①在中央、省政府考核中评为良以上；②在部门考核中被评为良以上；③在市政府绩效评估考核中为优秀的；④获市级文明奖、综治奖优秀单位的；⑤全年无违反党的“八项规定”的；⑥无违反财政法规等行为的。</w:t>
            </w:r>
          </w:p>
        </w:tc>
        <w:tc>
          <w:tcPr>
            <w:tcW w:w="614" w:type="dxa"/>
            <w:tcBorders>
              <w:top w:val="nil"/>
              <w:left w:val="nil"/>
              <w:bottom w:val="nil"/>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　</w:t>
            </w:r>
          </w:p>
        </w:tc>
      </w:tr>
      <w:tr>
        <w:trPr>
          <w:trHeight w:val="634"/>
        </w:trPr>
        <w:tc>
          <w:tcPr>
            <w:tcW w:w="775" w:type="dxa"/>
            <w:vMerge/>
            <w:tcBorders>
              <w:left w:val="single" w:sz="4" w:space="0" w:color="auto"/>
              <w:right w:val="single" w:sz="4" w:space="0" w:color="auto"/>
            </w:tcBorders>
            <w:vAlign w:val="center"/>
          </w:tcPr>
          <w:p/>
        </w:tc>
        <w:tc>
          <w:tcPr>
            <w:tcW w:w="770" w:type="dxa"/>
            <w:vMerge/>
            <w:tcBorders>
              <w:left w:val="single" w:sz="4" w:space="0" w:color="auto"/>
              <w:right w:val="single" w:sz="4" w:space="0" w:color="auto"/>
            </w:tcBorders>
            <w:vAlign w:val="center"/>
          </w:tcPr>
          <w:p/>
        </w:tc>
        <w:tc>
          <w:tcPr>
            <w:tcW w:w="707" w:type="dxa"/>
            <w:tcBorders>
              <w:top w:val="nil"/>
              <w:left w:val="nil"/>
              <w:bottom w:val="single" w:sz="4" w:space="0" w:color="auto"/>
              <w:right w:val="single" w:sz="4" w:space="0" w:color="auto"/>
            </w:tcBorders>
            <w:vAlign w:val="center"/>
          </w:tcPr>
          <w:p>
            <w:pPr>
              <w:widowControl/>
              <w:snapToGrid/>
              <w:spacing w:before="0" w:beforeAutospacing="0" w:after="0" w:afterAutospacing="0" w:line="20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社会</w:t>
            </w:r>
          </w:p>
          <w:p>
            <w:pPr>
              <w:widowControl/>
              <w:snapToGrid/>
              <w:spacing w:before="0" w:beforeAutospacing="0" w:after="0" w:afterAutospacing="0" w:line="20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效益</w:t>
            </w:r>
          </w:p>
        </w:tc>
        <w:tc>
          <w:tcPr>
            <w:tcW w:w="477" w:type="dxa"/>
            <w:vMerge/>
            <w:tcBorders>
              <w:left w:val="single" w:sz="4" w:space="0" w:color="auto"/>
              <w:right w:val="single" w:sz="4" w:space="0" w:color="auto"/>
            </w:tcBorders>
            <w:vAlign w:val="center"/>
          </w:tcPr>
          <w:p/>
        </w:tc>
        <w:tc>
          <w:tcPr>
            <w:tcW w:w="2207" w:type="dxa"/>
            <w:vMerge/>
            <w:tcBorders>
              <w:left w:val="single" w:sz="4" w:space="0" w:color="auto"/>
              <w:right w:val="single" w:sz="4" w:space="0" w:color="auto"/>
            </w:tcBorders>
            <w:vAlign w:val="center"/>
          </w:tcPr>
          <w:p/>
        </w:tc>
        <w:tc>
          <w:tcPr>
            <w:tcW w:w="4101" w:type="dxa"/>
            <w:gridSpan w:val="2"/>
            <w:vMerge/>
            <w:tcBorders>
              <w:top w:val="single" w:sz="4" w:space="0" w:color="auto"/>
              <w:left w:val="single" w:sz="4" w:space="0" w:color="auto"/>
              <w:bottom w:val="single" w:sz="4" w:space="0" w:color="auto"/>
              <w:right w:val="single" w:sz="4" w:space="0" w:color="auto"/>
            </w:tcBorders>
            <w:vAlign w:val="center"/>
          </w:tcPr>
          <w:p/>
        </w:tc>
        <w:tc>
          <w:tcPr>
            <w:tcW w:w="614" w:type="dxa"/>
            <w:vMerge w:val="restart"/>
            <w:tcBorders>
              <w:top w:val="nil"/>
              <w:left w:val="nil"/>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rFonts w:ascii="Times New Roman" w:eastAsia="宋体" w:cs="Times New Roman" w:hAnsi="Times New Roman" w:hint="eastAsia"/>
                <w:b w:val="0"/>
                <w:i w:val="0"/>
                <w:caps w:val="0"/>
                <w:smallCaps w:val="0"/>
                <w:color w:val="000000"/>
                <w:spacing w:val="0"/>
                <w:w w:val="100"/>
                <w:kern w:val="0"/>
                <w:sz w:val="15"/>
                <w:szCs w:val="15"/>
              </w:rPr>
              <w:t>20</w:t>
            </w:r>
          </w:p>
        </w:tc>
      </w:tr>
      <w:tr>
        <w:trPr>
          <w:trHeight w:val="634"/>
        </w:trPr>
        <w:tc>
          <w:tcPr>
            <w:tcW w:w="775" w:type="dxa"/>
            <w:vMerge/>
            <w:tcBorders>
              <w:left w:val="single" w:sz="4" w:space="0" w:color="auto"/>
              <w:bottom w:val="single" w:sz="4" w:space="0" w:color="auto"/>
              <w:right w:val="single" w:sz="4" w:space="0" w:color="auto"/>
            </w:tcBorders>
            <w:vAlign w:val="center"/>
          </w:tcPr>
          <w:p/>
        </w:tc>
        <w:tc>
          <w:tcPr>
            <w:tcW w:w="770" w:type="dxa"/>
            <w:vMerge/>
            <w:tcBorders>
              <w:left w:val="single" w:sz="4" w:space="0" w:color="auto"/>
              <w:bottom w:val="single" w:sz="4" w:space="0" w:color="auto"/>
              <w:right w:val="single" w:sz="4" w:space="0" w:color="auto"/>
            </w:tcBorders>
            <w:vAlign w:val="center"/>
          </w:tcPr>
          <w:p/>
        </w:tc>
        <w:tc>
          <w:tcPr>
            <w:tcW w:w="707" w:type="dxa"/>
            <w:tcBorders>
              <w:top w:val="nil"/>
              <w:left w:val="nil"/>
              <w:bottom w:val="single" w:sz="4" w:space="0" w:color="auto"/>
              <w:right w:val="single" w:sz="4" w:space="0" w:color="auto"/>
            </w:tcBorders>
            <w:vAlign w:val="center"/>
          </w:tcPr>
          <w:p>
            <w:pPr>
              <w:widowControl/>
              <w:snapToGrid/>
              <w:spacing w:before="0" w:beforeAutospacing="0" w:after="0" w:afterAutospacing="0" w:line="20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生态</w:t>
            </w:r>
          </w:p>
          <w:p>
            <w:pPr>
              <w:widowControl/>
              <w:snapToGrid/>
              <w:spacing w:before="0" w:beforeAutospacing="0" w:after="0" w:afterAutospacing="0" w:line="20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效益</w:t>
            </w:r>
          </w:p>
        </w:tc>
        <w:tc>
          <w:tcPr>
            <w:tcW w:w="477" w:type="dxa"/>
            <w:vMerge/>
            <w:tcBorders>
              <w:left w:val="single" w:sz="4" w:space="0" w:color="auto"/>
              <w:bottom w:val="single" w:sz="4" w:space="0" w:color="auto"/>
              <w:right w:val="single" w:sz="4" w:space="0" w:color="auto"/>
            </w:tcBorders>
            <w:vAlign w:val="center"/>
          </w:tcPr>
          <w:p/>
        </w:tc>
        <w:tc>
          <w:tcPr>
            <w:tcW w:w="2207" w:type="dxa"/>
            <w:vMerge/>
            <w:tcBorders>
              <w:left w:val="single" w:sz="4" w:space="0" w:color="auto"/>
              <w:bottom w:val="single" w:sz="4" w:space="0" w:color="auto"/>
              <w:right w:val="single" w:sz="4" w:space="0" w:color="auto"/>
            </w:tcBorders>
            <w:vAlign w:val="center"/>
          </w:tcPr>
          <w:p/>
        </w:tc>
        <w:tc>
          <w:tcPr>
            <w:tcW w:w="3959" w:type="dxa"/>
            <w:gridSpan w:val="2"/>
            <w:vMerge/>
            <w:tcBorders>
              <w:top w:val="single" w:sz="4" w:space="0" w:color="auto"/>
              <w:left w:val="single" w:sz="4" w:space="0" w:color="auto"/>
              <w:bottom w:val="single" w:sz="4" w:space="0" w:color="auto"/>
              <w:right w:val="single" w:sz="4" w:space="0" w:color="auto"/>
            </w:tcBorders>
            <w:vAlign w:val="center"/>
          </w:tcPr>
          <w:p/>
        </w:tc>
        <w:tc>
          <w:tcPr>
            <w:vMerge/>
            <w:tcBorders>
              <w:top w:val="nil"/>
              <w:left w:val="nil"/>
              <w:bottom w:val="single" w:sz="4" w:space="0" w:color="auto"/>
              <w:right w:val="single" w:sz="4" w:space="0" w:color="auto"/>
            </w:tcBorders>
            <w:vAlign w:val="center"/>
          </w:tcPr>
          <w:p/>
        </w:tc>
      </w:tr>
      <w:tr>
        <w:trPr>
          <w:trHeight w:val="1232"/>
        </w:trPr>
        <w:tc>
          <w:tcPr>
            <w:tcW w:w="775" w:type="dxa"/>
            <w:vMerge w:val="restart"/>
            <w:tcBorders>
              <w:top w:val="single" w:sz="4" w:space="0" w:color="auto"/>
              <w:left w:val="single" w:sz="4" w:space="0" w:color="auto"/>
              <w:right w:val="single" w:sz="4" w:space="0" w:color="auto"/>
            </w:tcBorders>
            <w:vAlign w:val="center"/>
          </w:tcPr>
          <w:p>
            <w:pPr>
              <w:snapToGrid/>
              <w:jc w:val="center"/>
              <w:textAlignment w:val="baseline"/>
              <w:rPr>
                <w:b w:val="0"/>
                <w:i w:val="0"/>
                <w:caps w:val="0"/>
                <w:smallCaps w:val="0"/>
                <w:color w:val="000000"/>
                <w:spacing w:val="0"/>
                <w:w w:val="100"/>
                <w:kern w:val="0"/>
                <w:sz w:val="15"/>
                <w:szCs w:val="15"/>
              </w:rPr>
            </w:pPr>
          </w:p>
        </w:tc>
        <w:tc>
          <w:tcPr>
            <w:tcW w:w="770" w:type="dxa"/>
            <w:vMerge w:val="restart"/>
            <w:tcBorders>
              <w:top w:val="single" w:sz="4" w:space="0" w:color="auto"/>
              <w:left w:val="single" w:sz="4" w:space="0" w:color="auto"/>
              <w:right w:val="single" w:sz="4" w:space="0" w:color="auto"/>
            </w:tcBorders>
            <w:vAlign w:val="center"/>
          </w:tcPr>
          <w:p>
            <w:pPr>
              <w:widowControl/>
              <w:snapToGrid/>
              <w:jc w:val="center"/>
              <w:textAlignment w:val="baseline"/>
              <w:rPr>
                <w:b w:val="0"/>
                <w:i w:val="0"/>
                <w:caps w:val="0"/>
                <w:smallCaps w:val="0"/>
                <w:color w:val="000000"/>
                <w:spacing w:val="0"/>
                <w:w w:val="100"/>
                <w:kern w:val="0"/>
                <w:sz w:val="15"/>
                <w:szCs w:val="15"/>
              </w:rPr>
            </w:pPr>
          </w:p>
        </w:tc>
        <w:tc>
          <w:tcPr>
            <w:tcW w:w="707" w:type="dxa"/>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0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行政</w:t>
            </w:r>
          </w:p>
          <w:p>
            <w:pPr>
              <w:widowControl/>
              <w:snapToGrid/>
              <w:spacing w:before="0" w:beforeAutospacing="0" w:after="0" w:afterAutospacing="0" w:line="20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效能</w:t>
            </w:r>
          </w:p>
        </w:tc>
        <w:tc>
          <w:tcPr>
            <w:tcW w:w="477" w:type="dxa"/>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5</w:t>
            </w:r>
          </w:p>
        </w:tc>
        <w:tc>
          <w:tcPr>
            <w:tcW w:w="2207" w:type="dxa"/>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部门（单位）促进部门改进文风会风，加强经费及资产管理，推动网上办事，提高行政效率，降低行政成本效果情况。</w:t>
            </w:r>
          </w:p>
        </w:tc>
        <w:tc>
          <w:tcPr>
            <w:tcW w:w="2967" w:type="dxa"/>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根据部门自评材料评定</w:t>
            </w:r>
          </w:p>
        </w:tc>
        <w:tc>
          <w:tcPr>
            <w:tcW w:w="1134" w:type="dxa"/>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较好的计5分；一般3分；无效果或者效果不明显0分。</w:t>
            </w:r>
          </w:p>
        </w:tc>
        <w:tc>
          <w:tcPr>
            <w:tcW w:w="614" w:type="dxa"/>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rFonts w:ascii="Times New Roman" w:eastAsia="宋体" w:cs="Times New Roman" w:hAnsi="Times New Roman" w:hint="eastAsia"/>
                <w:b w:val="0"/>
                <w:i w:val="0"/>
                <w:caps w:val="0"/>
                <w:smallCaps w:val="0"/>
                <w:color w:val="000000"/>
                <w:spacing w:val="0"/>
                <w:w w:val="100"/>
                <w:kern w:val="0"/>
                <w:sz w:val="15"/>
                <w:szCs w:val="15"/>
              </w:rPr>
              <w:t>5</w:t>
            </w:r>
          </w:p>
        </w:tc>
      </w:tr>
      <w:tr>
        <w:trPr>
          <w:trHeight w:val="1296"/>
        </w:trPr>
        <w:tc>
          <w:tcPr>
            <w:tcW w:w="775" w:type="dxa"/>
            <w:vMerge/>
            <w:tcBorders>
              <w:left w:val="single" w:sz="4" w:space="0" w:color="auto"/>
              <w:bottom w:val="single" w:sz="4" w:space="0" w:color="auto"/>
              <w:right w:val="single" w:sz="4" w:space="0" w:color="auto"/>
            </w:tcBorders>
            <w:vAlign w:val="center"/>
          </w:tcPr>
          <w:p/>
        </w:tc>
        <w:tc>
          <w:tcPr>
            <w:tcW w:w="770" w:type="dxa"/>
            <w:vMerge/>
            <w:tcBorders>
              <w:left w:val="single" w:sz="4" w:space="0" w:color="auto"/>
              <w:bottom w:val="single" w:sz="4" w:space="0" w:color="auto"/>
              <w:right w:val="single" w:sz="4" w:space="0" w:color="auto"/>
            </w:tcBorders>
            <w:vAlign w:val="center"/>
          </w:tcPr>
          <w:p/>
        </w:tc>
        <w:tc>
          <w:tcPr>
            <w:tcW w:w="707"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00" w:lineRule="exact"/>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社会公众或服务对象满意度</w:t>
            </w:r>
          </w:p>
        </w:tc>
        <w:tc>
          <w:tcPr>
            <w:tcW w:w="477"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5</w:t>
            </w:r>
          </w:p>
        </w:tc>
        <w:tc>
          <w:tcPr>
            <w:tcW w:w="2207" w:type="dxa"/>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社会公众或部门（单位）的服务对象对部门履职效果的满意程度。</w:t>
            </w:r>
          </w:p>
        </w:tc>
        <w:tc>
          <w:tcPr>
            <w:tcW w:w="2967" w:type="dxa"/>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社会公众或服务对象是指部门（单位）履行职责而影响到的部门、群体或个人，一般采取社会调查的方式。</w:t>
            </w:r>
          </w:p>
        </w:tc>
        <w:tc>
          <w:tcPr>
            <w:tcW w:w="1134" w:type="dxa"/>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both"/>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90%（含）以上计5分；</w:t>
              <w:br/>
              <w:t>80%（含）-90%，计4分；</w:t>
              <w:br/>
              <w:t>70%（含）-80%，计3分；</w:t>
              <w:br/>
              <w:t>低于70%计0分。</w:t>
            </w:r>
          </w:p>
        </w:tc>
        <w:tc>
          <w:tcPr>
            <w:tcW w:w="614"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rFonts w:ascii="Times New Roman" w:eastAsia="宋体" w:cs="Times New Roman" w:hAnsi="Times New Roman" w:hint="eastAsia"/>
                <w:b w:val="0"/>
                <w:i w:val="0"/>
                <w:caps w:val="0"/>
                <w:smallCaps w:val="0"/>
                <w:color w:val="000000"/>
                <w:spacing w:val="0"/>
                <w:w w:val="100"/>
                <w:kern w:val="0"/>
                <w:sz w:val="15"/>
                <w:szCs w:val="15"/>
              </w:rPr>
              <w:t>5</w:t>
            </w:r>
          </w:p>
        </w:tc>
      </w:tr>
      <w:tr>
        <w:trPr>
          <w:trHeight w:val="526"/>
        </w:trPr>
        <w:tc>
          <w:tcPr>
            <w:tcW w:w="775" w:type="dxa"/>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总分</w:t>
            </w:r>
          </w:p>
        </w:tc>
        <w:tc>
          <w:tcPr>
            <w:tcW w:w="1954" w:type="dxa"/>
            <w:gridSpan w:val="3"/>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b w:val="0"/>
                <w:i w:val="0"/>
                <w:caps w:val="0"/>
                <w:smallCaps w:val="0"/>
                <w:color w:val="000000"/>
                <w:spacing w:val="0"/>
                <w:w w:val="100"/>
                <w:kern w:val="0"/>
                <w:sz w:val="15"/>
                <w:szCs w:val="15"/>
              </w:rPr>
            </w:pPr>
            <w:r>
              <w:rPr>
                <w:b w:val="0"/>
                <w:i w:val="0"/>
                <w:caps w:val="0"/>
                <w:smallCaps w:val="0"/>
                <w:color w:val="000000"/>
                <w:spacing w:val="0"/>
                <w:w w:val="100"/>
                <w:kern w:val="0"/>
                <w:sz w:val="15"/>
                <w:szCs w:val="15"/>
              </w:rPr>
              <w:t>100</w:t>
            </w:r>
          </w:p>
        </w:tc>
        <w:tc>
          <w:tcPr>
            <w:tcW w:w="6922" w:type="dxa"/>
            <w:gridSpan w:val="4"/>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rFonts w:eastAsia="宋体"/>
                <w:b w:val="0"/>
                <w:i w:val="0"/>
                <w:caps w:val="0"/>
                <w:smallCaps w:val="0"/>
                <w:color w:val="000000"/>
                <w:spacing w:val="0"/>
                <w:w w:val="100"/>
                <w:kern w:val="0"/>
                <w:sz w:val="15"/>
                <w:szCs w:val="15"/>
                <w:lang w:val="en-US" w:eastAsia="zh-CN"/>
              </w:rPr>
            </w:pPr>
            <w:r>
              <w:rPr>
                <w:rFonts w:ascii="Times New Roman" w:eastAsia="宋体" w:cs="Times New Roman" w:hAnsi="Times New Roman" w:hint="eastAsia"/>
                <w:b w:val="0"/>
                <w:i w:val="0"/>
                <w:caps w:val="0"/>
                <w:smallCaps w:val="0"/>
                <w:color w:val="000000"/>
                <w:spacing w:val="0"/>
                <w:w w:val="100"/>
                <w:kern w:val="0"/>
                <w:sz w:val="15"/>
                <w:szCs w:val="15"/>
              </w:rPr>
              <w:t>9</w:t>
            </w:r>
            <w:r>
              <w:rPr>
                <w:rFonts w:cs="Times New Roman" w:hint="eastAsia"/>
                <w:b w:val="0"/>
                <w:i w:val="0"/>
                <w:caps w:val="0"/>
                <w:smallCaps w:val="0"/>
                <w:color w:val="000000"/>
                <w:spacing w:val="0"/>
                <w:w w:val="100"/>
                <w:kern w:val="0"/>
                <w:sz w:val="15"/>
                <w:szCs w:val="15"/>
                <w:lang w:val="en-US" w:eastAsia="zh-CN"/>
              </w:rPr>
              <w:t>4.5</w:t>
            </w:r>
          </w:p>
        </w:tc>
      </w:tr>
    </w:tbl>
    <w:p>
      <w:pPr>
        <w:snapToGrid/>
        <w:textAlignment w:val="baseline"/>
        <w:rPr>
          <w:rFonts w:ascii="黑体" w:eastAsia="黑体" w:hint="eastAsia"/>
          <w:b w:val="0"/>
          <w:i w:val="0"/>
          <w:caps w:val="0"/>
          <w:smallCaps w:val="0"/>
          <w:color w:val="000000"/>
          <w:spacing w:val="0"/>
          <w:w w:val="100"/>
          <w:kern w:val="0"/>
          <w:sz w:val="32"/>
          <w:szCs w:val="32"/>
          <w:lang w:val="en-US" w:eastAsia="zh-CN"/>
        </w:rPr>
      </w:pPr>
      <w:r>
        <w:rPr>
          <w:b w:val="0"/>
          <w:i w:val="0"/>
          <w:caps w:val="0"/>
          <w:smallCaps w:val="0"/>
          <w:color w:val="000000"/>
          <w:spacing w:val="0"/>
          <w:w w:val="100"/>
          <w:sz w:val="20"/>
        </w:rPr>
        <w:br w:type="page"/>
      </w:r>
      <w:r>
        <w:rPr>
          <w:rFonts w:ascii="黑体" w:eastAsia="黑体" w:hint="eastAsia"/>
          <w:b w:val="0"/>
          <w:i w:val="0"/>
          <w:caps w:val="0"/>
          <w:smallCaps w:val="0"/>
          <w:color w:val="000000"/>
          <w:spacing w:val="0"/>
          <w:w w:val="100"/>
          <w:kern w:val="0"/>
          <w:sz w:val="32"/>
          <w:szCs w:val="32"/>
          <w:lang w:val="en-US" w:eastAsia="zh-CN"/>
        </w:rPr>
        <w:t>附件2：</w:t>
      </w:r>
    </w:p>
    <w:p>
      <w:pPr>
        <w:snapToGrid/>
        <w:spacing w:before="0" w:beforeAutospacing="0" w:after="0" w:afterAutospacing="0" w:line="240" w:lineRule="auto"/>
        <w:jc w:val="center"/>
        <w:textAlignment w:val="baseline"/>
        <w:rPr>
          <w:rFonts w:eastAsia="方正小标宋简体"/>
          <w:b w:val="0"/>
          <w:i w:val="0"/>
          <w:caps w:val="0"/>
          <w:smallCaps w:val="0"/>
          <w:color w:val="000000"/>
          <w:spacing w:val="0"/>
          <w:w w:val="100"/>
          <w:kern w:val="0"/>
          <w:sz w:val="44"/>
          <w:szCs w:val="44"/>
        </w:rPr>
      </w:pPr>
      <w:r>
        <w:rPr>
          <w:rFonts w:eastAsia="方正小标宋简体"/>
          <w:b w:val="0"/>
          <w:i w:val="0"/>
          <w:caps w:val="0"/>
          <w:smallCaps w:val="0"/>
          <w:color w:val="000000"/>
          <w:spacing w:val="0"/>
          <w:w w:val="100"/>
          <w:kern w:val="0"/>
          <w:sz w:val="44"/>
          <w:szCs w:val="44"/>
        </w:rPr>
        <w:t>部门整体支出绩效评价基础数据表</w:t>
      </w:r>
    </w:p>
    <w:p>
      <w:pPr>
        <w:snapToGrid/>
        <w:spacing w:before="0" w:beforeAutospacing="0" w:after="0" w:afterAutospacing="0" w:line="240" w:lineRule="auto"/>
        <w:jc w:val="both"/>
        <w:textAlignment w:val="baseline"/>
        <w:rPr>
          <w:b w:val="0"/>
          <w:i w:val="0"/>
          <w:caps w:val="0"/>
          <w:smallCaps w:val="0"/>
          <w:color w:val="000000"/>
          <w:w w:val="100"/>
          <w:sz w:val="20"/>
        </w:rPr>
      </w:pPr>
      <w:r>
        <w:rPr>
          <w:rFonts w:eastAsia="仿宋_GB2312"/>
          <w:b w:val="0"/>
          <w:i w:val="0"/>
          <w:caps w:val="0"/>
          <w:smallCaps w:val="0"/>
          <w:color w:val="000000"/>
          <w:spacing w:val="0"/>
          <w:w w:val="100"/>
          <w:kern w:val="0"/>
          <w:sz w:val="24"/>
          <w:szCs w:val="24"/>
        </w:rPr>
        <w:t>填报单位</w:t>
      </w:r>
      <w:r>
        <w:rPr>
          <w:rFonts w:eastAsia="仿宋_GB2312"/>
          <w:b w:val="0"/>
          <w:i w:val="0"/>
          <w:caps w:val="0"/>
          <w:smallCaps w:val="0"/>
          <w:color w:val="000000"/>
          <w:w w:val="100"/>
          <w:kern w:val="0"/>
          <w:sz w:val="24"/>
          <w:szCs w:val="24"/>
        </w:rPr>
        <w:t>：</w:t>
      </w:r>
      <w:r>
        <w:rPr>
          <w:rFonts w:ascii="方正小标宋简体" w:eastAsia="方正小标宋简体"/>
          <w:b w:val="0"/>
          <w:bCs w:val="0"/>
          <w:color w:val="000000"/>
          <w:sz w:val="21"/>
          <w:szCs w:val="21"/>
        </w:rPr>
        <w:t>中共张家界市委宣传部</w:t>
      </w:r>
    </w:p>
    <w:tbl>
      <w:tblPr>
        <w:jc w:val="center"/>
        <w:tblW w:w="9577"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067"/>
        <w:gridCol w:w="979"/>
        <w:gridCol w:w="927"/>
        <w:gridCol w:w="932"/>
        <w:gridCol w:w="1208"/>
        <w:gridCol w:w="1238"/>
        <w:gridCol w:w="1226"/>
      </w:tblGrid>
      <w:tr>
        <w:trPr>
          <w:trHeight w:val="658"/>
        </w:trPr>
        <w:tc>
          <w:tcPr>
            <w:tcW w:w="3067" w:type="dxa"/>
            <w:vMerge w:val="restart"/>
            <w:tcBorders>
              <w:top w:val="single" w:sz="4" w:space="0" w:color="auto"/>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财政供养人员情况</w:t>
            </w:r>
          </w:p>
        </w:tc>
        <w:tc>
          <w:tcPr>
            <w:tcW w:w="1906"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编制数</w:t>
            </w:r>
          </w:p>
        </w:tc>
        <w:tc>
          <w:tcPr>
            <w:tcW w:w="2140"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2020年实际</w:t>
            </w:r>
          </w:p>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在职人数</w:t>
            </w:r>
          </w:p>
        </w:tc>
        <w:tc>
          <w:tcPr>
            <w:tcW w:w="2464" w:type="dxa"/>
            <w:gridSpan w:val="2"/>
            <w:tcBorders>
              <w:top w:val="single" w:sz="4" w:space="0" w:color="auto"/>
              <w:left w:val="nil"/>
              <w:bottom w:val="single" w:sz="4" w:space="0" w:color="auto"/>
              <w:right w:val="single" w:sz="4" w:space="0" w:color="auto"/>
            </w:tcBorders>
            <w:vAlign w:val="center"/>
          </w:tcPr>
          <w:p>
            <w:pPr>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控制率</w:t>
            </w:r>
          </w:p>
        </w:tc>
      </w:tr>
      <w:tr>
        <w:trPr>
          <w:trHeight w:val="334"/>
        </w:trPr>
        <w:tc>
          <w:tcPr>
            <w:tcW w:w="3067" w:type="dxa"/>
            <w:vMerge/>
            <w:tcBorders>
              <w:top w:val="single" w:sz="4" w:space="0" w:color="auto"/>
              <w:left w:val="single" w:sz="4" w:space="0" w:color="auto"/>
              <w:bottom w:val="single" w:sz="4" w:space="0" w:color="auto"/>
              <w:right w:val="single" w:sz="4" w:space="0" w:color="auto"/>
            </w:tcBorders>
            <w:vAlign w:val="center"/>
          </w:tcPr>
          <w:p/>
        </w:tc>
        <w:tc>
          <w:tcPr>
            <w:tcW w:w="1906"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lang w:val="en-US" w:eastAsia="zh-CN"/>
              </w:rPr>
            </w:pPr>
            <w:r>
              <w:rPr>
                <w:rFonts w:eastAsia="仿宋_GB2312" w:hint="eastAsia"/>
                <w:b w:val="0"/>
                <w:i w:val="0"/>
                <w:caps w:val="0"/>
                <w:smallCaps w:val="0"/>
                <w:color w:val="000000"/>
                <w:spacing w:val="0"/>
                <w:w w:val="100"/>
                <w:kern w:val="0"/>
                <w:sz w:val="24"/>
                <w:szCs w:val="24"/>
                <w:lang w:val="en-US" w:eastAsia="zh-CN"/>
              </w:rPr>
              <w:t>27</w:t>
            </w:r>
          </w:p>
        </w:tc>
        <w:tc>
          <w:tcPr>
            <w:tcW w:w="2140"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lang w:val="en-US" w:eastAsia="zh-CN"/>
              </w:rPr>
            </w:pPr>
            <w:r>
              <w:rPr>
                <w:rFonts w:eastAsia="仿宋_GB2312" w:hint="eastAsia"/>
                <w:b w:val="0"/>
                <w:i w:val="0"/>
                <w:caps w:val="0"/>
                <w:smallCaps w:val="0"/>
                <w:color w:val="000000"/>
                <w:spacing w:val="0"/>
                <w:w w:val="100"/>
                <w:kern w:val="0"/>
                <w:sz w:val="24"/>
                <w:szCs w:val="24"/>
                <w:lang w:val="en-US" w:eastAsia="zh-CN"/>
              </w:rPr>
              <w:t>26</w:t>
            </w:r>
          </w:p>
        </w:tc>
        <w:tc>
          <w:tcPr>
            <w:tcW w:w="2464" w:type="dxa"/>
            <w:gridSpan w:val="2"/>
            <w:tcBorders>
              <w:top w:val="single" w:sz="4" w:space="0" w:color="auto"/>
              <w:left w:val="nil"/>
              <w:bottom w:val="single" w:sz="4" w:space="0" w:color="auto"/>
              <w:right w:val="single" w:sz="4" w:space="0" w:color="auto"/>
            </w:tcBorders>
            <w:vAlign w:val="center"/>
          </w:tcPr>
          <w:p>
            <w:pPr>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lang w:val="en-US" w:eastAsia="zh-CN"/>
              </w:rPr>
            </w:pPr>
            <w:r>
              <w:rPr>
                <w:rFonts w:eastAsia="仿宋_GB2312" w:hint="eastAsia"/>
                <w:b w:val="0"/>
                <w:i w:val="0"/>
                <w:caps w:val="0"/>
                <w:smallCaps w:val="0"/>
                <w:color w:val="000000"/>
                <w:spacing w:val="0"/>
                <w:w w:val="100"/>
                <w:kern w:val="0"/>
                <w:sz w:val="24"/>
                <w:szCs w:val="24"/>
                <w:lang w:val="en-US" w:eastAsia="zh-CN"/>
              </w:rPr>
              <w:t>96%</w:t>
            </w:r>
          </w:p>
        </w:tc>
      </w:tr>
      <w:tr>
        <w:trPr>
          <w:trHeight w:val="658"/>
        </w:trPr>
        <w:tc>
          <w:tcPr>
            <w:tcW w:w="3067"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ind w:firstLineChars="250" w:firstLine="600"/>
              <w:jc w:val="both"/>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经费控制情况</w:t>
            </w:r>
          </w:p>
        </w:tc>
        <w:tc>
          <w:tcPr>
            <w:tcW w:w="1906"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2019年</w:t>
            </w:r>
          </w:p>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决算数</w:t>
            </w:r>
          </w:p>
        </w:tc>
        <w:tc>
          <w:tcPr>
            <w:tcW w:w="2140"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2020年</w:t>
            </w:r>
          </w:p>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预算数</w:t>
            </w:r>
          </w:p>
        </w:tc>
        <w:tc>
          <w:tcPr>
            <w:tcW w:w="2464" w:type="dxa"/>
            <w:gridSpan w:val="2"/>
            <w:tcBorders>
              <w:top w:val="single" w:sz="4" w:space="0" w:color="auto"/>
              <w:left w:val="nil"/>
              <w:bottom w:val="single" w:sz="4" w:space="0" w:color="auto"/>
              <w:right w:val="single" w:sz="4" w:space="0" w:color="auto"/>
            </w:tcBorders>
          </w:tcPr>
          <w:p>
            <w:pPr>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2020年</w:t>
            </w:r>
          </w:p>
          <w:p>
            <w:pPr>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决算数</w:t>
            </w:r>
          </w:p>
        </w:tc>
      </w:tr>
      <w:tr>
        <w:trPr>
          <w:trHeight w:val="334"/>
        </w:trPr>
        <w:tc>
          <w:tcPr>
            <w:tcW w:w="3067"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三公经费</w:t>
            </w:r>
          </w:p>
        </w:tc>
        <w:tc>
          <w:tcPr>
            <w:tcW w:w="1906"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宋体" w:hint="eastAsia"/>
                <w:b w:val="0"/>
                <w:i w:val="0"/>
                <w:caps w:val="0"/>
                <w:smallCaps w:val="0"/>
                <w:color w:val="000000"/>
                <w:spacing w:val="0"/>
                <w:w w:val="100"/>
                <w:kern w:val="0"/>
                <w:sz w:val="24"/>
                <w:szCs w:val="24"/>
                <w:lang w:eastAsia="zh-CN"/>
              </w:rPr>
            </w:pPr>
            <w:r>
              <w:rPr>
                <w:color w:val="000000"/>
                <w:kern w:val="0"/>
                <w:sz w:val="24"/>
                <w:szCs w:val="24"/>
              </w:rPr>
              <w:t>47</w:t>
            </w:r>
            <w:r>
              <w:rPr>
                <w:rFonts w:hint="eastAsia"/>
                <w:color w:val="000000"/>
                <w:kern w:val="0"/>
                <w:sz w:val="24"/>
                <w:szCs w:val="24"/>
                <w:lang w:val="en-US" w:eastAsia="zh-CN"/>
              </w:rPr>
              <w:t>.</w:t>
            </w:r>
            <w:r>
              <w:rPr>
                <w:color w:val="000000"/>
                <w:kern w:val="0"/>
                <w:sz w:val="24"/>
                <w:szCs w:val="24"/>
              </w:rPr>
              <w:t>0</w:t>
            </w:r>
            <w:r>
              <w:rPr>
                <w:rFonts w:hint="eastAsia"/>
                <w:color w:val="000000"/>
                <w:kern w:val="0"/>
                <w:sz w:val="24"/>
                <w:szCs w:val="24"/>
                <w:lang w:val="en-US" w:eastAsia="zh-CN"/>
              </w:rPr>
              <w:t>9</w:t>
            </w:r>
          </w:p>
        </w:tc>
        <w:tc>
          <w:tcPr>
            <w:tcW w:w="2140"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lang w:val="en-US" w:eastAsia="zh-CN"/>
              </w:rPr>
            </w:pPr>
            <w:r>
              <w:rPr>
                <w:rFonts w:eastAsia="仿宋_GB2312" w:hint="eastAsia"/>
                <w:b w:val="0"/>
                <w:i w:val="0"/>
                <w:caps w:val="0"/>
                <w:smallCaps w:val="0"/>
                <w:color w:val="000000"/>
                <w:spacing w:val="0"/>
                <w:w w:val="100"/>
                <w:kern w:val="0"/>
                <w:sz w:val="24"/>
                <w:szCs w:val="24"/>
                <w:lang w:val="en-US" w:eastAsia="zh-CN"/>
              </w:rPr>
              <w:t>46</w:t>
            </w:r>
          </w:p>
        </w:tc>
        <w:tc>
          <w:tcPr>
            <w:tcW w:w="2464" w:type="dxa"/>
            <w:gridSpan w:val="2"/>
            <w:tcBorders>
              <w:top w:val="single" w:sz="4" w:space="0" w:color="auto"/>
              <w:left w:val="nil"/>
              <w:bottom w:val="single" w:sz="4" w:space="0" w:color="auto"/>
              <w:right w:val="single" w:sz="4" w:space="0" w:color="auto"/>
            </w:tcBorders>
            <w:vAlign w:val="center"/>
          </w:tcPr>
          <w:p>
            <w:pPr>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lang w:val="en-US" w:eastAsia="zh-CN"/>
              </w:rPr>
            </w:pPr>
            <w:r>
              <w:rPr>
                <w:rFonts w:eastAsia="仿宋_GB2312" w:hint="eastAsia"/>
                <w:b w:val="0"/>
                <w:i w:val="0"/>
                <w:caps w:val="0"/>
                <w:smallCaps w:val="0"/>
                <w:color w:val="000000"/>
                <w:spacing w:val="0"/>
                <w:w w:val="100"/>
                <w:kern w:val="0"/>
                <w:sz w:val="24"/>
                <w:szCs w:val="24"/>
                <w:lang w:val="en-US" w:eastAsia="zh-CN"/>
              </w:rPr>
              <w:t>53.4</w:t>
            </w:r>
          </w:p>
        </w:tc>
      </w:tr>
      <w:tr>
        <w:trPr>
          <w:trHeight w:val="658"/>
        </w:trPr>
        <w:tc>
          <w:tcPr>
            <w:tcW w:w="3067"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ind w:left="585"/>
              <w:jc w:val="left"/>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1.公务用车购置和维护经费</w:t>
            </w:r>
          </w:p>
        </w:tc>
        <w:tc>
          <w:tcPr>
            <w:tcW w:w="1906"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color w:val="000000"/>
                <w:kern w:val="0"/>
                <w:sz w:val="24"/>
                <w:szCs w:val="24"/>
              </w:rPr>
              <w:t>38</w:t>
            </w:r>
            <w:r>
              <w:rPr>
                <w:rFonts w:hint="eastAsia"/>
                <w:color w:val="000000"/>
                <w:kern w:val="0"/>
                <w:sz w:val="24"/>
                <w:szCs w:val="24"/>
                <w:lang w:val="en-US" w:eastAsia="zh-CN"/>
              </w:rPr>
              <w:t>.</w:t>
            </w:r>
            <w:r>
              <w:rPr>
                <w:color w:val="000000"/>
                <w:kern w:val="0"/>
                <w:sz w:val="24"/>
                <w:szCs w:val="24"/>
              </w:rPr>
              <w:t>9</w:t>
            </w:r>
          </w:p>
        </w:tc>
        <w:tc>
          <w:tcPr>
            <w:tcW w:w="2140"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lang w:val="en-US" w:eastAsia="zh-CN"/>
              </w:rPr>
            </w:pPr>
            <w:r>
              <w:rPr>
                <w:rFonts w:eastAsia="仿宋_GB2312" w:hint="eastAsia"/>
                <w:b w:val="0"/>
                <w:i w:val="0"/>
                <w:caps w:val="0"/>
                <w:smallCaps w:val="0"/>
                <w:color w:val="000000"/>
                <w:spacing w:val="0"/>
                <w:w w:val="100"/>
                <w:kern w:val="0"/>
                <w:sz w:val="24"/>
                <w:szCs w:val="24"/>
                <w:lang w:val="en-US" w:eastAsia="zh-CN"/>
              </w:rPr>
              <w:t>13</w:t>
            </w:r>
          </w:p>
        </w:tc>
        <w:tc>
          <w:tcPr>
            <w:tcW w:w="2464" w:type="dxa"/>
            <w:gridSpan w:val="2"/>
            <w:tcBorders>
              <w:top w:val="single" w:sz="4" w:space="0" w:color="auto"/>
              <w:left w:val="nil"/>
              <w:bottom w:val="single" w:sz="4" w:space="0" w:color="auto"/>
              <w:right w:val="single" w:sz="4" w:space="0" w:color="auto"/>
            </w:tcBorders>
            <w:vAlign w:val="center"/>
          </w:tcPr>
          <w:p>
            <w:pPr>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lang w:val="en-US" w:eastAsia="zh-CN"/>
              </w:rPr>
            </w:pPr>
            <w:r>
              <w:rPr>
                <w:rFonts w:eastAsia="仿宋_GB2312" w:hint="eastAsia"/>
                <w:b w:val="0"/>
                <w:i w:val="0"/>
                <w:caps w:val="0"/>
                <w:smallCaps w:val="0"/>
                <w:color w:val="000000"/>
                <w:spacing w:val="0"/>
                <w:w w:val="100"/>
                <w:kern w:val="0"/>
                <w:sz w:val="24"/>
                <w:szCs w:val="24"/>
                <w:lang w:val="en-US" w:eastAsia="zh-CN"/>
              </w:rPr>
              <w:t>42.34</w:t>
            </w:r>
          </w:p>
        </w:tc>
      </w:tr>
      <w:tr>
        <w:trPr>
          <w:trHeight w:val="334"/>
        </w:trPr>
        <w:tc>
          <w:tcPr>
            <w:tcW w:w="3067"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 xml:space="preserve">     其中：公车购置</w:t>
            </w:r>
          </w:p>
        </w:tc>
        <w:tc>
          <w:tcPr>
            <w:tcW w:w="1906"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color w:val="000000"/>
                <w:kern w:val="0"/>
                <w:sz w:val="24"/>
                <w:szCs w:val="24"/>
              </w:rPr>
              <w:t>17</w:t>
            </w:r>
            <w:r>
              <w:rPr>
                <w:rFonts w:hint="eastAsia"/>
                <w:color w:val="000000"/>
                <w:kern w:val="0"/>
                <w:sz w:val="24"/>
                <w:szCs w:val="24"/>
                <w:lang w:val="en-US" w:eastAsia="zh-CN"/>
              </w:rPr>
              <w:t>.</w:t>
            </w:r>
            <w:r>
              <w:rPr>
                <w:color w:val="000000"/>
                <w:kern w:val="0"/>
                <w:sz w:val="24"/>
                <w:szCs w:val="24"/>
              </w:rPr>
              <w:t>98</w:t>
            </w:r>
          </w:p>
        </w:tc>
        <w:tc>
          <w:tcPr>
            <w:tcW w:w="2140"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0</w:t>
            </w:r>
          </w:p>
        </w:tc>
        <w:tc>
          <w:tcPr>
            <w:tcW w:w="2464" w:type="dxa"/>
            <w:gridSpan w:val="2"/>
            <w:tcBorders>
              <w:top w:val="single" w:sz="4" w:space="0" w:color="auto"/>
              <w:left w:val="nil"/>
              <w:bottom w:val="single" w:sz="4" w:space="0" w:color="auto"/>
              <w:right w:val="single" w:sz="4" w:space="0" w:color="auto"/>
            </w:tcBorders>
            <w:vAlign w:val="center"/>
          </w:tcPr>
          <w:p>
            <w:pPr>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hint="eastAsia"/>
                <w:b w:val="0"/>
                <w:i w:val="0"/>
                <w:caps w:val="0"/>
                <w:smallCaps w:val="0"/>
                <w:color w:val="000000"/>
                <w:spacing w:val="0"/>
                <w:w w:val="100"/>
                <w:kern w:val="0"/>
                <w:sz w:val="24"/>
                <w:szCs w:val="24"/>
              </w:rPr>
              <w:t>27.16</w:t>
            </w:r>
          </w:p>
        </w:tc>
      </w:tr>
      <w:tr>
        <w:trPr>
          <w:trHeight w:val="334"/>
        </w:trPr>
        <w:tc>
          <w:tcPr>
            <w:tcW w:w="3067"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 xml:space="preserve">           公车运行维护</w:t>
            </w:r>
          </w:p>
        </w:tc>
        <w:tc>
          <w:tcPr>
            <w:tcW w:w="1906" w:type="dxa"/>
            <w:gridSpan w:val="2"/>
            <w:tcBorders>
              <w:top w:val="single" w:sz="4" w:space="0" w:color="auto"/>
              <w:left w:val="nil"/>
              <w:bottom w:val="single" w:sz="4" w:space="0" w:color="auto"/>
              <w:right w:val="single" w:sz="4" w:space="0" w:color="auto"/>
            </w:tcBorders>
            <w:vAlign w:val="center"/>
          </w:tcPr>
          <w:tbl>
            <w:tblPr>
              <w:jc w:val="center"/>
              <w:tblW w:w="10480"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0480"/>
            </w:tblGrid>
            <w:tr>
              <w:trPr>
                <w:trHeight w:val="366"/>
              </w:trPr>
              <w:tc>
                <w:tcPr>
                  <w:tcW w:w="1808" w:type="dxa"/>
                  <w:tcBorders>
                    <w:top w:val="single" w:sz="4" w:space="0" w:color="auto"/>
                    <w:left w:val="nil"/>
                    <w:bottom w:val="single" w:sz="4" w:space="0" w:color="auto"/>
                    <w:right w:val="single" w:sz="4" w:space="0" w:color="auto"/>
                  </w:tcBorders>
                  <w:vAlign w:val="center"/>
                </w:tcPr>
                <w:p>
                  <w:pPr>
                    <w:jc w:val="center"/>
                    <w:rPr>
                      <w:rFonts w:eastAsia="宋体" w:hint="eastAsia"/>
                      <w:color w:val="000000"/>
                      <w:kern w:val="0"/>
                      <w:sz w:val="24"/>
                      <w:szCs w:val="24"/>
                      <w:lang w:eastAsia="zh-CN"/>
                    </w:rPr>
                  </w:pPr>
                  <w:r>
                    <w:rPr>
                      <w:color w:val="000000"/>
                      <w:kern w:val="0"/>
                      <w:sz w:val="24"/>
                      <w:szCs w:val="24"/>
                    </w:rPr>
                    <w:t>20</w:t>
                  </w:r>
                  <w:r>
                    <w:rPr>
                      <w:rFonts w:hint="eastAsia"/>
                      <w:color w:val="000000"/>
                      <w:kern w:val="0"/>
                      <w:sz w:val="24"/>
                      <w:szCs w:val="24"/>
                      <w:lang w:val="en-US" w:eastAsia="zh-CN"/>
                    </w:rPr>
                    <w:t>.</w:t>
                  </w:r>
                  <w:r>
                    <w:rPr>
                      <w:color w:val="000000"/>
                      <w:kern w:val="0"/>
                      <w:sz w:val="24"/>
                      <w:szCs w:val="24"/>
                    </w:rPr>
                    <w:t>9</w:t>
                  </w:r>
                  <w:r>
                    <w:rPr>
                      <w:rFonts w:hint="eastAsia"/>
                      <w:color w:val="000000"/>
                      <w:kern w:val="0"/>
                      <w:sz w:val="24"/>
                      <w:szCs w:val="24"/>
                      <w:lang w:val="en-US" w:eastAsia="zh-CN"/>
                    </w:rPr>
                    <w:t>4</w:t>
                  </w:r>
                </w:p>
              </w:tc>
            </w:tr>
          </w:tbl>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p>
        </w:tc>
        <w:tc>
          <w:tcPr>
            <w:tcW w:w="2140"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13.00</w:t>
            </w:r>
          </w:p>
        </w:tc>
        <w:tc>
          <w:tcPr>
            <w:tcW w:w="2464" w:type="dxa"/>
            <w:gridSpan w:val="2"/>
            <w:tcBorders>
              <w:top w:val="single" w:sz="4" w:space="0" w:color="auto"/>
              <w:left w:val="nil"/>
              <w:bottom w:val="single" w:sz="4" w:space="0" w:color="auto"/>
              <w:right w:val="single" w:sz="4" w:space="0" w:color="auto"/>
            </w:tcBorders>
            <w:vAlign w:val="center"/>
          </w:tcPr>
          <w:p>
            <w:pPr>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15.18</w:t>
            </w:r>
          </w:p>
        </w:tc>
      </w:tr>
      <w:tr>
        <w:trPr>
          <w:trHeight w:val="334"/>
        </w:trPr>
        <w:tc>
          <w:tcPr>
            <w:tcW w:w="3067"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 xml:space="preserve">     2.因公出国</w:t>
            </w:r>
          </w:p>
        </w:tc>
        <w:tc>
          <w:tcPr>
            <w:tcW w:w="1906"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0</w:t>
            </w:r>
          </w:p>
        </w:tc>
        <w:tc>
          <w:tcPr>
            <w:tcW w:w="2140"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0</w:t>
            </w:r>
          </w:p>
        </w:tc>
        <w:tc>
          <w:tcPr>
            <w:tcW w:w="2464" w:type="dxa"/>
            <w:gridSpan w:val="2"/>
            <w:tcBorders>
              <w:top w:val="single" w:sz="4" w:space="0" w:color="auto"/>
              <w:left w:val="nil"/>
              <w:bottom w:val="single" w:sz="4" w:space="0" w:color="auto"/>
              <w:right w:val="single" w:sz="4" w:space="0" w:color="auto"/>
            </w:tcBorders>
            <w:vAlign w:val="center"/>
          </w:tcPr>
          <w:p>
            <w:pPr>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0</w:t>
            </w:r>
          </w:p>
        </w:tc>
      </w:tr>
      <w:tr>
        <w:trPr>
          <w:trHeight w:val="334"/>
        </w:trPr>
        <w:tc>
          <w:tcPr>
            <w:tcW w:w="3067"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 xml:space="preserve">     3.公务接待</w:t>
            </w:r>
          </w:p>
        </w:tc>
        <w:tc>
          <w:tcPr>
            <w:tcW w:w="1906"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宋体" w:hint="eastAsia"/>
                <w:b w:val="0"/>
                <w:i w:val="0"/>
                <w:caps w:val="0"/>
                <w:smallCaps w:val="0"/>
                <w:color w:val="000000"/>
                <w:spacing w:val="0"/>
                <w:w w:val="100"/>
                <w:kern w:val="0"/>
                <w:sz w:val="24"/>
                <w:szCs w:val="24"/>
                <w:lang w:eastAsia="zh-CN"/>
              </w:rPr>
            </w:pPr>
            <w:r>
              <w:rPr>
                <w:color w:val="000000"/>
                <w:kern w:val="0"/>
                <w:sz w:val="24"/>
                <w:szCs w:val="24"/>
              </w:rPr>
              <w:t>8</w:t>
            </w:r>
            <w:r>
              <w:rPr>
                <w:rFonts w:hint="eastAsia"/>
                <w:color w:val="000000"/>
                <w:kern w:val="0"/>
                <w:sz w:val="24"/>
                <w:szCs w:val="24"/>
                <w:lang w:val="en-US" w:eastAsia="zh-CN"/>
              </w:rPr>
              <w:t>.</w:t>
            </w:r>
            <w:r>
              <w:rPr>
                <w:color w:val="000000"/>
                <w:kern w:val="0"/>
                <w:sz w:val="24"/>
                <w:szCs w:val="24"/>
              </w:rPr>
              <w:t>1</w:t>
            </w:r>
            <w:r>
              <w:rPr>
                <w:rFonts w:hint="eastAsia"/>
                <w:color w:val="000000"/>
                <w:kern w:val="0"/>
                <w:sz w:val="24"/>
                <w:szCs w:val="24"/>
                <w:lang w:val="en-US" w:eastAsia="zh-CN"/>
              </w:rPr>
              <w:t>8</w:t>
            </w:r>
          </w:p>
        </w:tc>
        <w:tc>
          <w:tcPr>
            <w:tcW w:w="2140"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33.00</w:t>
            </w:r>
          </w:p>
        </w:tc>
        <w:tc>
          <w:tcPr>
            <w:tcW w:w="2464" w:type="dxa"/>
            <w:gridSpan w:val="2"/>
            <w:tcBorders>
              <w:top w:val="single" w:sz="4" w:space="0" w:color="auto"/>
              <w:left w:val="nil"/>
              <w:bottom w:val="single" w:sz="4" w:space="0" w:color="auto"/>
              <w:right w:val="single" w:sz="4" w:space="0" w:color="auto"/>
            </w:tcBorders>
            <w:vAlign w:val="center"/>
          </w:tcPr>
          <w:p>
            <w:pPr>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11.06</w:t>
            </w:r>
          </w:p>
        </w:tc>
      </w:tr>
      <w:tr>
        <w:trPr>
          <w:trHeight w:val="334"/>
        </w:trPr>
        <w:tc>
          <w:tcPr>
            <w:tcW w:w="3067"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项目支出</w:t>
            </w:r>
          </w:p>
        </w:tc>
        <w:tc>
          <w:tcPr>
            <w:tcW w:w="1906"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color w:val="000000"/>
                <w:kern w:val="0"/>
                <w:sz w:val="24"/>
                <w:szCs w:val="24"/>
              </w:rPr>
              <w:t>890</w:t>
            </w:r>
            <w:r>
              <w:rPr>
                <w:rFonts w:hint="eastAsia"/>
                <w:color w:val="000000"/>
                <w:kern w:val="0"/>
                <w:sz w:val="24"/>
                <w:szCs w:val="24"/>
                <w:lang w:val="en-US" w:eastAsia="zh-CN"/>
              </w:rPr>
              <w:t>.</w:t>
            </w:r>
            <w:r>
              <w:rPr>
                <w:color w:val="000000"/>
                <w:kern w:val="0"/>
                <w:sz w:val="24"/>
                <w:szCs w:val="24"/>
              </w:rPr>
              <w:t>86</w:t>
            </w:r>
          </w:p>
        </w:tc>
        <w:tc>
          <w:tcPr>
            <w:tcW w:w="2140"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lang w:val="en-US" w:eastAsia="zh-CN"/>
              </w:rPr>
            </w:pPr>
            <w:r>
              <w:rPr>
                <w:rFonts w:eastAsia="仿宋_GB2312" w:hint="eastAsia"/>
                <w:b w:val="0"/>
                <w:i w:val="0"/>
                <w:caps w:val="0"/>
                <w:smallCaps w:val="0"/>
                <w:color w:val="000000"/>
                <w:spacing w:val="0"/>
                <w:w w:val="100"/>
                <w:kern w:val="0"/>
                <w:sz w:val="24"/>
                <w:szCs w:val="24"/>
                <w:lang w:val="en-US" w:eastAsia="zh-CN"/>
              </w:rPr>
              <w:t>873.00</w:t>
            </w:r>
          </w:p>
        </w:tc>
        <w:tc>
          <w:tcPr>
            <w:tcW w:w="2464" w:type="dxa"/>
            <w:gridSpan w:val="2"/>
            <w:tcBorders>
              <w:top w:val="single" w:sz="4" w:space="0" w:color="auto"/>
              <w:left w:val="nil"/>
              <w:bottom w:val="single" w:sz="4" w:space="0" w:color="auto"/>
              <w:right w:val="single" w:sz="4" w:space="0" w:color="auto"/>
            </w:tcBorders>
            <w:vAlign w:val="center"/>
          </w:tcPr>
          <w:p>
            <w:pPr>
              <w:snapToGrid/>
              <w:spacing w:before="0" w:beforeAutospacing="0" w:after="0" w:afterAutospacing="0" w:line="240" w:lineRule="auto"/>
              <w:jc w:val="center"/>
              <w:textAlignment w:val="baseline"/>
              <w:rPr>
                <w:rFonts w:eastAsia="仿宋_GB2312" w:hint="eastAsia"/>
                <w:b w:val="0"/>
                <w:i w:val="0"/>
                <w:caps w:val="0"/>
                <w:smallCaps w:val="0"/>
                <w:color w:val="000000"/>
                <w:spacing w:val="0"/>
                <w:w w:val="100"/>
                <w:kern w:val="0"/>
                <w:sz w:val="24"/>
                <w:szCs w:val="24"/>
                <w:lang w:val="en-US" w:eastAsia="zh-CN"/>
              </w:rPr>
            </w:pPr>
            <w:r>
              <w:rPr>
                <w:rFonts w:eastAsia="仿宋_GB2312" w:hint="eastAsia"/>
                <w:b w:val="0"/>
                <w:i w:val="0"/>
                <w:caps w:val="0"/>
                <w:smallCaps w:val="0"/>
                <w:color w:val="000000"/>
                <w:spacing w:val="0"/>
                <w:w w:val="100"/>
                <w:kern w:val="0"/>
                <w:sz w:val="24"/>
                <w:szCs w:val="24"/>
                <w:lang w:val="en-US" w:eastAsia="zh-CN"/>
              </w:rPr>
              <w:t>490.06</w:t>
            </w:r>
          </w:p>
        </w:tc>
      </w:tr>
      <w:tr>
        <w:trPr>
          <w:trHeight w:val="334"/>
        </w:trPr>
        <w:tc>
          <w:tcPr>
            <w:tcW w:w="3067"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ind w:firstLineChars="50" w:firstLine="120"/>
              <w:jc w:val="left"/>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1.业务工作专项</w:t>
            </w:r>
          </w:p>
        </w:tc>
        <w:tc>
          <w:tcPr>
            <w:tcW w:w="1906"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宋体" w:hint="eastAsia"/>
                <w:b w:val="0"/>
                <w:i w:val="0"/>
                <w:caps w:val="0"/>
                <w:smallCaps w:val="0"/>
                <w:color w:val="000000"/>
                <w:spacing w:val="0"/>
                <w:w w:val="100"/>
                <w:kern w:val="0"/>
                <w:sz w:val="24"/>
                <w:szCs w:val="24"/>
                <w:lang w:eastAsia="zh-CN"/>
              </w:rPr>
            </w:pPr>
            <w:r>
              <w:rPr>
                <w:color w:val="000000"/>
                <w:kern w:val="0"/>
                <w:sz w:val="24"/>
                <w:szCs w:val="24"/>
              </w:rPr>
              <w:t>890</w:t>
            </w:r>
            <w:r>
              <w:rPr>
                <w:rFonts w:hint="eastAsia"/>
                <w:color w:val="000000"/>
                <w:kern w:val="0"/>
                <w:sz w:val="24"/>
                <w:szCs w:val="24"/>
                <w:lang w:val="en-US" w:eastAsia="zh-CN"/>
              </w:rPr>
              <w:t>.</w:t>
            </w:r>
            <w:r>
              <w:rPr>
                <w:color w:val="000000"/>
                <w:kern w:val="0"/>
                <w:sz w:val="24"/>
                <w:szCs w:val="24"/>
              </w:rPr>
              <w:t>8</w:t>
            </w:r>
            <w:r>
              <w:rPr>
                <w:rFonts w:hint="eastAsia"/>
                <w:color w:val="000000"/>
                <w:kern w:val="0"/>
                <w:sz w:val="24"/>
                <w:szCs w:val="24"/>
                <w:lang w:val="en-US" w:eastAsia="zh-CN"/>
              </w:rPr>
              <w:t>6</w:t>
            </w:r>
          </w:p>
        </w:tc>
        <w:tc>
          <w:tcPr>
            <w:tcW w:w="2140"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lang w:val="en-US" w:eastAsia="zh-CN"/>
              </w:rPr>
            </w:pPr>
            <w:r>
              <w:rPr>
                <w:rFonts w:eastAsia="仿宋_GB2312" w:hint="eastAsia"/>
                <w:b w:val="0"/>
                <w:i w:val="0"/>
                <w:caps w:val="0"/>
                <w:smallCaps w:val="0"/>
                <w:color w:val="000000"/>
                <w:spacing w:val="0"/>
                <w:w w:val="100"/>
                <w:kern w:val="0"/>
                <w:sz w:val="24"/>
                <w:szCs w:val="24"/>
              </w:rPr>
              <w:t>873</w:t>
            </w:r>
            <w:r>
              <w:rPr>
                <w:rFonts w:eastAsia="仿宋_GB2312" w:hint="eastAsia"/>
                <w:b w:val="0"/>
                <w:i w:val="0"/>
                <w:caps w:val="0"/>
                <w:smallCaps w:val="0"/>
                <w:color w:val="000000"/>
                <w:spacing w:val="0"/>
                <w:w w:val="100"/>
                <w:kern w:val="0"/>
                <w:sz w:val="24"/>
                <w:szCs w:val="24"/>
                <w:lang w:val="en-US" w:eastAsia="zh-CN"/>
              </w:rPr>
              <w:t>.00</w:t>
            </w:r>
          </w:p>
        </w:tc>
        <w:tc>
          <w:tcPr>
            <w:tcW w:w="2464" w:type="dxa"/>
            <w:gridSpan w:val="2"/>
            <w:tcBorders>
              <w:top w:val="single" w:sz="4" w:space="0" w:color="auto"/>
              <w:left w:val="nil"/>
              <w:bottom w:val="single" w:sz="4" w:space="0" w:color="auto"/>
              <w:right w:val="single" w:sz="4" w:space="0" w:color="auto"/>
            </w:tcBorders>
            <w:vAlign w:val="center"/>
          </w:tcPr>
          <w:p>
            <w:pPr>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490.06</w:t>
            </w:r>
          </w:p>
        </w:tc>
      </w:tr>
      <w:tr>
        <w:trPr>
          <w:trHeight w:val="334"/>
        </w:trPr>
        <w:tc>
          <w:tcPr>
            <w:tcW w:w="3067"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ind w:firstLineChars="50" w:firstLine="120"/>
              <w:jc w:val="left"/>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2.运行维护专项</w:t>
            </w:r>
          </w:p>
        </w:tc>
        <w:tc>
          <w:tcPr>
            <w:tcW w:w="1906"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0</w:t>
            </w:r>
          </w:p>
        </w:tc>
        <w:tc>
          <w:tcPr>
            <w:tcW w:w="2140"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0</w:t>
            </w:r>
          </w:p>
        </w:tc>
        <w:tc>
          <w:tcPr>
            <w:tcW w:w="2464" w:type="dxa"/>
            <w:gridSpan w:val="2"/>
            <w:tcBorders>
              <w:top w:val="single" w:sz="4" w:space="0" w:color="auto"/>
              <w:left w:val="nil"/>
              <w:bottom w:val="single" w:sz="4" w:space="0" w:color="auto"/>
              <w:right w:val="single" w:sz="4" w:space="0" w:color="auto"/>
            </w:tcBorders>
            <w:vAlign w:val="center"/>
          </w:tcPr>
          <w:p>
            <w:pPr>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0</w:t>
            </w:r>
          </w:p>
        </w:tc>
      </w:tr>
      <w:tr>
        <w:trPr>
          <w:trHeight w:val="334"/>
        </w:trPr>
        <w:tc>
          <w:tcPr>
            <w:tcW w:w="3067"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ind w:firstLineChars="50" w:firstLine="120"/>
              <w:jc w:val="left"/>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w:t>
            </w:r>
          </w:p>
        </w:tc>
        <w:tc>
          <w:tcPr>
            <w:tcW w:w="1906"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p>
        </w:tc>
        <w:tc>
          <w:tcPr>
            <w:tcW w:w="2140"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ind w:right="-138"/>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　</w:t>
            </w:r>
          </w:p>
        </w:tc>
        <w:tc>
          <w:tcPr>
            <w:tcW w:w="2464" w:type="dxa"/>
            <w:gridSpan w:val="2"/>
            <w:tcBorders>
              <w:top w:val="single" w:sz="4" w:space="0" w:color="auto"/>
              <w:left w:val="nil"/>
              <w:bottom w:val="single" w:sz="4" w:space="0" w:color="auto"/>
              <w:right w:val="single" w:sz="4" w:space="0" w:color="auto"/>
            </w:tcBorders>
            <w:vAlign w:val="center"/>
          </w:tcPr>
          <w:p>
            <w:pPr>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　</w:t>
            </w:r>
          </w:p>
        </w:tc>
      </w:tr>
      <w:tr>
        <w:trPr>
          <w:trHeight w:val="334"/>
        </w:trPr>
        <w:tc>
          <w:tcPr>
            <w:tcW w:w="3067"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 xml:space="preserve">公用经费 </w:t>
            </w:r>
          </w:p>
        </w:tc>
        <w:tc>
          <w:tcPr>
            <w:tcW w:w="1906"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ind w:firstLineChars="50" w:firstLine="120"/>
              <w:jc w:val="center"/>
              <w:textAlignment w:val="baseline"/>
              <w:rPr>
                <w:rFonts w:eastAsia="仿宋_GB2312"/>
                <w:b w:val="0"/>
                <w:i w:val="0"/>
                <w:caps w:val="0"/>
                <w:smallCaps w:val="0"/>
                <w:color w:val="000000"/>
                <w:spacing w:val="0"/>
                <w:w w:val="100"/>
                <w:kern w:val="0"/>
                <w:sz w:val="24"/>
                <w:szCs w:val="24"/>
              </w:rPr>
            </w:pPr>
            <w:r>
              <w:rPr>
                <w:color w:val="000000"/>
                <w:kern w:val="0"/>
                <w:sz w:val="24"/>
                <w:szCs w:val="24"/>
              </w:rPr>
              <w:t>179</w:t>
            </w:r>
            <w:r>
              <w:rPr>
                <w:rFonts w:hint="eastAsia"/>
                <w:color w:val="000000"/>
                <w:kern w:val="0"/>
                <w:sz w:val="24"/>
                <w:szCs w:val="24"/>
                <w:lang w:val="en-US" w:eastAsia="zh-CN"/>
              </w:rPr>
              <w:t>.</w:t>
            </w:r>
            <w:r>
              <w:rPr>
                <w:color w:val="000000"/>
                <w:kern w:val="0"/>
                <w:sz w:val="24"/>
                <w:szCs w:val="24"/>
              </w:rPr>
              <w:t>1</w:t>
            </w:r>
            <w:r>
              <w:rPr>
                <w:rFonts w:hint="eastAsia"/>
                <w:color w:val="000000"/>
                <w:kern w:val="0"/>
                <w:sz w:val="24"/>
                <w:szCs w:val="24"/>
                <w:lang w:val="en-US" w:eastAsia="zh-CN"/>
              </w:rPr>
              <w:t>2</w:t>
            </w:r>
          </w:p>
        </w:tc>
        <w:tc>
          <w:tcPr>
            <w:tcW w:w="2140"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378.47</w:t>
            </w:r>
          </w:p>
        </w:tc>
        <w:tc>
          <w:tcPr>
            <w:tcW w:w="2464" w:type="dxa"/>
            <w:gridSpan w:val="2"/>
            <w:tcBorders>
              <w:top w:val="single" w:sz="4" w:space="0" w:color="auto"/>
              <w:left w:val="nil"/>
              <w:bottom w:val="single" w:sz="4" w:space="0" w:color="auto"/>
              <w:right w:val="single" w:sz="4" w:space="0" w:color="auto"/>
            </w:tcBorders>
            <w:vAlign w:val="center"/>
          </w:tcPr>
          <w:p>
            <w:pPr>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396.22</w:t>
            </w:r>
          </w:p>
        </w:tc>
      </w:tr>
      <w:tr>
        <w:trPr>
          <w:trHeight w:val="334"/>
        </w:trPr>
        <w:tc>
          <w:tcPr>
            <w:tcW w:w="3067"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 xml:space="preserve">其中：办公经费 </w:t>
            </w:r>
          </w:p>
        </w:tc>
        <w:tc>
          <w:tcPr>
            <w:tcW w:w="1906"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ind w:firstLineChars="50" w:firstLine="120"/>
              <w:jc w:val="center"/>
              <w:textAlignment w:val="baseline"/>
              <w:rPr>
                <w:rFonts w:eastAsia="宋体"/>
                <w:b w:val="0"/>
                <w:i w:val="0"/>
                <w:caps w:val="0"/>
                <w:smallCaps w:val="0"/>
                <w:color w:val="000000"/>
                <w:spacing w:val="0"/>
                <w:w w:val="100"/>
                <w:kern w:val="0"/>
                <w:sz w:val="24"/>
                <w:szCs w:val="24"/>
                <w:lang w:val="en-US" w:eastAsia="zh-CN"/>
              </w:rPr>
            </w:pPr>
            <w:r>
              <w:rPr>
                <w:color w:val="000000"/>
                <w:kern w:val="0"/>
                <w:sz w:val="24"/>
                <w:szCs w:val="24"/>
              </w:rPr>
              <w:t>12</w:t>
            </w:r>
            <w:r>
              <w:rPr>
                <w:rFonts w:hint="eastAsia"/>
                <w:color w:val="000000"/>
                <w:kern w:val="0"/>
                <w:sz w:val="24"/>
                <w:szCs w:val="24"/>
                <w:lang w:val="en-US" w:eastAsia="zh-CN"/>
              </w:rPr>
              <w:t>.26</w:t>
            </w:r>
          </w:p>
        </w:tc>
        <w:tc>
          <w:tcPr>
            <w:tcW w:w="2140"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59</w:t>
            </w:r>
          </w:p>
        </w:tc>
        <w:tc>
          <w:tcPr>
            <w:tcW w:w="2464" w:type="dxa"/>
            <w:gridSpan w:val="2"/>
            <w:tcBorders>
              <w:top w:val="single" w:sz="4" w:space="0" w:color="auto"/>
              <w:left w:val="nil"/>
              <w:bottom w:val="single" w:sz="4" w:space="0" w:color="auto"/>
              <w:right w:val="single" w:sz="4" w:space="0" w:color="auto"/>
            </w:tcBorders>
            <w:vAlign w:val="center"/>
          </w:tcPr>
          <w:p>
            <w:pPr>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21.09</w:t>
            </w:r>
            <w:bookmarkStart w:id="0" w:name="_GoBack"/>
            <w:bookmarkEnd w:id="0"/>
          </w:p>
        </w:tc>
      </w:tr>
      <w:tr>
        <w:trPr>
          <w:trHeight w:val="334"/>
        </w:trPr>
        <w:tc>
          <w:tcPr>
            <w:tcW w:w="3067"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ind w:firstLineChars="50" w:firstLine="120"/>
              <w:jc w:val="left"/>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 xml:space="preserve">     水费、电费、差旅费</w:t>
            </w:r>
          </w:p>
        </w:tc>
        <w:tc>
          <w:tcPr>
            <w:tcW w:w="1906"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ind w:firstLineChars="50" w:firstLine="120"/>
              <w:jc w:val="center"/>
              <w:textAlignment w:val="baseline"/>
              <w:rPr>
                <w:rFonts w:eastAsia="仿宋_GB2312"/>
                <w:b w:val="0"/>
                <w:i w:val="0"/>
                <w:caps w:val="0"/>
                <w:smallCaps w:val="0"/>
                <w:color w:val="000000"/>
                <w:spacing w:val="0"/>
                <w:w w:val="100"/>
                <w:kern w:val="0"/>
                <w:sz w:val="24"/>
                <w:szCs w:val="24"/>
              </w:rPr>
            </w:pPr>
            <w:r>
              <w:rPr>
                <w:color w:val="000000"/>
                <w:kern w:val="0"/>
                <w:sz w:val="24"/>
                <w:szCs w:val="24"/>
              </w:rPr>
              <w:t>32</w:t>
            </w:r>
            <w:r>
              <w:rPr>
                <w:rFonts w:hint="eastAsia"/>
                <w:color w:val="000000"/>
                <w:kern w:val="0"/>
                <w:sz w:val="24"/>
                <w:szCs w:val="24"/>
                <w:lang w:val="en-US" w:eastAsia="zh-CN"/>
              </w:rPr>
              <w:t>.17</w:t>
            </w:r>
          </w:p>
        </w:tc>
        <w:tc>
          <w:tcPr>
            <w:tcW w:w="2140"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lang w:val="en-US" w:eastAsia="zh-CN"/>
              </w:rPr>
            </w:pPr>
            <w:r>
              <w:rPr>
                <w:rFonts w:eastAsia="仿宋_GB2312" w:hint="eastAsia"/>
                <w:b w:val="0"/>
                <w:i w:val="0"/>
                <w:caps w:val="0"/>
                <w:smallCaps w:val="0"/>
                <w:color w:val="000000"/>
                <w:spacing w:val="0"/>
                <w:w w:val="100"/>
                <w:kern w:val="0"/>
                <w:sz w:val="24"/>
                <w:szCs w:val="24"/>
                <w:lang w:val="en-US" w:eastAsia="zh-CN"/>
              </w:rPr>
              <w:t>19.00</w:t>
            </w:r>
          </w:p>
        </w:tc>
        <w:tc>
          <w:tcPr>
            <w:tcW w:w="2464" w:type="dxa"/>
            <w:gridSpan w:val="2"/>
            <w:tcBorders>
              <w:top w:val="single" w:sz="4" w:space="0" w:color="auto"/>
              <w:left w:val="nil"/>
              <w:bottom w:val="single" w:sz="4" w:space="0" w:color="auto"/>
              <w:right w:val="single" w:sz="4" w:space="0" w:color="auto"/>
            </w:tcBorders>
            <w:vAlign w:val="center"/>
          </w:tcPr>
          <w:p>
            <w:pPr>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lang w:val="en-US" w:eastAsia="zh-CN"/>
              </w:rPr>
            </w:pPr>
            <w:r>
              <w:rPr>
                <w:rFonts w:eastAsia="仿宋_GB2312" w:hint="eastAsia"/>
                <w:b w:val="0"/>
                <w:i w:val="0"/>
                <w:caps w:val="0"/>
                <w:smallCaps w:val="0"/>
                <w:color w:val="000000"/>
                <w:spacing w:val="0"/>
                <w:w w:val="100"/>
                <w:kern w:val="0"/>
                <w:sz w:val="24"/>
                <w:szCs w:val="24"/>
                <w:lang w:val="en-US" w:eastAsia="zh-CN"/>
              </w:rPr>
              <w:t>16.81</w:t>
            </w:r>
          </w:p>
        </w:tc>
      </w:tr>
      <w:tr>
        <w:trPr>
          <w:trHeight w:val="334"/>
        </w:trPr>
        <w:tc>
          <w:tcPr>
            <w:tcW w:w="3067"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ind w:firstLineChars="50" w:firstLine="120"/>
              <w:jc w:val="left"/>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 xml:space="preserve">     会议费、培训费</w:t>
            </w:r>
          </w:p>
        </w:tc>
        <w:tc>
          <w:tcPr>
            <w:tcW w:w="1906"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宋体" w:hint="eastAsia"/>
                <w:b w:val="0"/>
                <w:i w:val="0"/>
                <w:caps w:val="0"/>
                <w:smallCaps w:val="0"/>
                <w:color w:val="000000"/>
                <w:spacing w:val="0"/>
                <w:w w:val="100"/>
                <w:kern w:val="0"/>
                <w:sz w:val="24"/>
                <w:szCs w:val="24"/>
                <w:lang w:eastAsia="zh-CN"/>
              </w:rPr>
            </w:pPr>
            <w:r>
              <w:rPr>
                <w:color w:val="000000"/>
                <w:kern w:val="0"/>
                <w:sz w:val="24"/>
                <w:szCs w:val="24"/>
              </w:rPr>
              <w:t>3</w:t>
            </w:r>
            <w:r>
              <w:rPr>
                <w:rFonts w:hint="eastAsia"/>
                <w:color w:val="000000"/>
                <w:kern w:val="0"/>
                <w:sz w:val="24"/>
                <w:szCs w:val="24"/>
                <w:lang w:val="en-US" w:eastAsia="zh-CN"/>
              </w:rPr>
              <w:t>.</w:t>
            </w:r>
            <w:r>
              <w:rPr>
                <w:color w:val="000000"/>
                <w:kern w:val="0"/>
                <w:sz w:val="24"/>
                <w:szCs w:val="24"/>
              </w:rPr>
              <w:t>7</w:t>
            </w:r>
            <w:r>
              <w:rPr>
                <w:rFonts w:hint="eastAsia"/>
                <w:color w:val="000000"/>
                <w:kern w:val="0"/>
                <w:sz w:val="24"/>
                <w:szCs w:val="24"/>
                <w:lang w:val="en-US" w:eastAsia="zh-CN"/>
              </w:rPr>
              <w:t>7</w:t>
            </w:r>
          </w:p>
        </w:tc>
        <w:tc>
          <w:tcPr>
            <w:tcW w:w="2140"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lang w:val="en-US" w:eastAsia="zh-CN"/>
              </w:rPr>
            </w:pPr>
            <w:r>
              <w:rPr>
                <w:rFonts w:eastAsia="仿宋_GB2312" w:hint="eastAsia"/>
                <w:b w:val="0"/>
                <w:i w:val="0"/>
                <w:caps w:val="0"/>
                <w:smallCaps w:val="0"/>
                <w:color w:val="000000"/>
                <w:spacing w:val="0"/>
                <w:w w:val="100"/>
                <w:kern w:val="0"/>
                <w:sz w:val="24"/>
                <w:szCs w:val="24"/>
                <w:lang w:val="en-US" w:eastAsia="zh-CN"/>
              </w:rPr>
              <w:t>20.00</w:t>
            </w:r>
          </w:p>
        </w:tc>
        <w:tc>
          <w:tcPr>
            <w:tcW w:w="2464" w:type="dxa"/>
            <w:gridSpan w:val="2"/>
            <w:tcBorders>
              <w:top w:val="single" w:sz="4" w:space="0" w:color="auto"/>
              <w:left w:val="nil"/>
              <w:bottom w:val="single" w:sz="4" w:space="0" w:color="auto"/>
              <w:right w:val="single" w:sz="4" w:space="0" w:color="auto"/>
            </w:tcBorders>
            <w:vAlign w:val="center"/>
          </w:tcPr>
          <w:p>
            <w:pPr>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lang w:val="en-US" w:eastAsia="zh-CN"/>
              </w:rPr>
            </w:pPr>
            <w:r>
              <w:rPr>
                <w:rFonts w:eastAsia="仿宋_GB2312" w:hint="eastAsia"/>
                <w:b w:val="0"/>
                <w:i w:val="0"/>
                <w:caps w:val="0"/>
                <w:smallCaps w:val="0"/>
                <w:color w:val="000000"/>
                <w:spacing w:val="0"/>
                <w:w w:val="100"/>
                <w:kern w:val="0"/>
                <w:sz w:val="24"/>
                <w:szCs w:val="24"/>
                <w:lang w:val="en-US" w:eastAsia="zh-CN"/>
              </w:rPr>
              <w:t>8.88</w:t>
            </w:r>
          </w:p>
        </w:tc>
      </w:tr>
      <w:tr>
        <w:trPr>
          <w:trHeight w:val="334"/>
        </w:trPr>
        <w:tc>
          <w:tcPr>
            <w:tcW w:w="3067"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政府采购金额</w:t>
            </w:r>
          </w:p>
        </w:tc>
        <w:tc>
          <w:tcPr>
            <w:tcW w:w="1906"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宋体" w:hint="eastAsia"/>
                <w:b w:val="0"/>
                <w:i w:val="0"/>
                <w:caps w:val="0"/>
                <w:smallCaps w:val="0"/>
                <w:color w:val="000000"/>
                <w:spacing w:val="0"/>
                <w:w w:val="100"/>
                <w:kern w:val="0"/>
                <w:sz w:val="24"/>
                <w:szCs w:val="24"/>
                <w:lang w:eastAsia="zh-CN"/>
              </w:rPr>
            </w:pPr>
            <w:r>
              <w:rPr>
                <w:color w:val="000000"/>
                <w:kern w:val="0"/>
                <w:sz w:val="24"/>
                <w:szCs w:val="24"/>
              </w:rPr>
              <w:t>49</w:t>
            </w:r>
            <w:r>
              <w:rPr>
                <w:rFonts w:hint="eastAsia"/>
                <w:color w:val="000000"/>
                <w:kern w:val="0"/>
                <w:sz w:val="24"/>
                <w:szCs w:val="24"/>
                <w:lang w:val="en-US" w:eastAsia="zh-CN"/>
              </w:rPr>
              <w:t>.</w:t>
            </w:r>
            <w:r>
              <w:rPr>
                <w:color w:val="000000"/>
                <w:kern w:val="0"/>
                <w:sz w:val="24"/>
                <w:szCs w:val="24"/>
              </w:rPr>
              <w:t>8</w:t>
            </w:r>
            <w:r>
              <w:rPr>
                <w:rFonts w:hint="eastAsia"/>
                <w:color w:val="000000"/>
                <w:kern w:val="0"/>
                <w:sz w:val="24"/>
                <w:szCs w:val="24"/>
                <w:lang w:val="en-US" w:eastAsia="zh-CN"/>
              </w:rPr>
              <w:t>5</w:t>
            </w:r>
          </w:p>
        </w:tc>
        <w:tc>
          <w:tcPr>
            <w:tcW w:w="2140"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24.3</w:t>
            </w:r>
          </w:p>
        </w:tc>
        <w:tc>
          <w:tcPr>
            <w:tcW w:w="2464" w:type="dxa"/>
            <w:gridSpan w:val="2"/>
            <w:tcBorders>
              <w:top w:val="single" w:sz="4" w:space="0" w:color="auto"/>
              <w:left w:val="nil"/>
              <w:bottom w:val="single" w:sz="4" w:space="0" w:color="auto"/>
              <w:right w:val="single" w:sz="4" w:space="0" w:color="auto"/>
            </w:tcBorders>
            <w:vAlign w:val="center"/>
          </w:tcPr>
          <w:p>
            <w:pPr>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61.37</w:t>
            </w:r>
          </w:p>
        </w:tc>
      </w:tr>
      <w:tr>
        <w:trPr>
          <w:trHeight w:val="334"/>
        </w:trPr>
        <w:tc>
          <w:tcPr>
            <w:tcW w:w="3067"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部门整体支出</w:t>
            </w:r>
          </w:p>
        </w:tc>
        <w:tc>
          <w:tcPr>
            <w:tcW w:w="1906" w:type="dxa"/>
            <w:gridSpan w:val="2"/>
            <w:tcBorders>
              <w:top w:val="single" w:sz="4" w:space="0" w:color="auto"/>
              <w:left w:val="nil"/>
              <w:bottom w:val="single" w:sz="4" w:space="0" w:color="000000"/>
              <w:right w:val="single" w:sz="4" w:space="0" w:color="auto"/>
            </w:tcBorders>
            <w:vAlign w:val="center"/>
          </w:tcPr>
          <w:p>
            <w:pPr>
              <w:widowControl/>
              <w:snapToGrid/>
              <w:spacing w:before="0" w:beforeAutospacing="0" w:after="0" w:afterAutospacing="0" w:line="240" w:lineRule="auto"/>
              <w:jc w:val="center"/>
              <w:textAlignment w:val="baseline"/>
              <w:rPr>
                <w:rFonts w:eastAsia="宋体"/>
                <w:b w:val="0"/>
                <w:i w:val="0"/>
                <w:caps w:val="0"/>
                <w:smallCaps w:val="0"/>
                <w:color w:val="000000"/>
                <w:spacing w:val="0"/>
                <w:w w:val="100"/>
                <w:kern w:val="0"/>
                <w:sz w:val="24"/>
                <w:szCs w:val="24"/>
                <w:lang w:val="en-US" w:eastAsia="zh-CN"/>
              </w:rPr>
            </w:pPr>
            <w:r>
              <w:rPr>
                <w:color w:val="000000"/>
                <w:kern w:val="0"/>
                <w:sz w:val="24"/>
                <w:szCs w:val="24"/>
              </w:rPr>
              <w:t>1708</w:t>
            </w:r>
            <w:r>
              <w:rPr>
                <w:rFonts w:hint="eastAsia"/>
                <w:color w:val="000000"/>
                <w:kern w:val="0"/>
                <w:sz w:val="24"/>
                <w:szCs w:val="24"/>
                <w:lang w:val="en-US" w:eastAsia="zh-CN"/>
              </w:rPr>
              <w:t>.35</w:t>
            </w:r>
          </w:p>
        </w:tc>
        <w:tc>
          <w:tcPr>
            <w:tcW w:w="2140" w:type="dxa"/>
            <w:gridSpan w:val="2"/>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1505.5</w:t>
            </w:r>
          </w:p>
        </w:tc>
        <w:tc>
          <w:tcPr>
            <w:tcW w:w="2464" w:type="dxa"/>
            <w:gridSpan w:val="2"/>
            <w:tcBorders>
              <w:top w:val="single" w:sz="4" w:space="0" w:color="auto"/>
              <w:left w:val="nil"/>
              <w:bottom w:val="single" w:sz="4" w:space="0" w:color="auto"/>
              <w:right w:val="single" w:sz="4" w:space="0" w:color="auto"/>
            </w:tcBorders>
            <w:vAlign w:val="center"/>
          </w:tcPr>
          <w:p>
            <w:pPr>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1,512.42</w:t>
            </w:r>
          </w:p>
        </w:tc>
      </w:tr>
      <w:tr>
        <w:trPr>
          <w:trHeight w:val="1916"/>
        </w:trPr>
        <w:tc>
          <w:tcPr>
            <w:tcW w:w="3067" w:type="dxa"/>
            <w:tcBorders>
              <w:top w:val="nil"/>
              <w:left w:val="single" w:sz="4" w:space="0" w:color="auto"/>
              <w:right w:val="nil"/>
            </w:tcBorders>
            <w:vAlign w:val="center"/>
          </w:tcPr>
          <w:p>
            <w:pPr>
              <w:widowControl/>
              <w:snapToGrid/>
              <w:spacing w:before="0" w:beforeAutospacing="0" w:after="0" w:afterAutospacing="0" w:line="240" w:lineRule="auto"/>
              <w:ind w:firstLineChars="100" w:firstLine="240"/>
              <w:jc w:val="both"/>
              <w:textAlignment w:val="baseline"/>
              <w:rPr>
                <w:rFonts w:eastAsia="仿宋_GB2312"/>
                <w:b w:val="0"/>
                <w:i w:val="0"/>
                <w:caps w:val="0"/>
                <w:smallCaps w:val="0"/>
                <w:color w:val="000000"/>
                <w:spacing w:val="0"/>
                <w:w w:val="100"/>
                <w:kern w:val="0"/>
                <w:sz w:val="24"/>
                <w:szCs w:val="24"/>
              </w:rPr>
            </w:pPr>
          </w:p>
          <w:p>
            <w:pPr>
              <w:widowControl/>
              <w:snapToGrid/>
              <w:spacing w:before="0" w:beforeAutospacing="0" w:after="0" w:afterAutospacing="0" w:line="240" w:lineRule="auto"/>
              <w:ind w:firstLineChars="250" w:firstLine="600"/>
              <w:jc w:val="both"/>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楼堂馆所控制情况</w:t>
            </w:r>
          </w:p>
          <w:p>
            <w:pPr>
              <w:snapToGrid/>
              <w:spacing w:before="0" w:beforeAutospacing="0" w:after="0" w:afterAutospacing="0" w:line="240" w:lineRule="auto"/>
              <w:ind w:firstLineChars="150" w:firstLine="360"/>
              <w:jc w:val="both"/>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（2020年完工项目）</w:t>
            </w:r>
          </w:p>
        </w:tc>
        <w:tc>
          <w:tcPr>
            <w:tcW w:w="979" w:type="dxa"/>
            <w:tcBorders>
              <w:top w:val="nil"/>
              <w:left w:val="single" w:sz="4" w:space="0" w:color="auto"/>
              <w:bottom w:val="single" w:sz="4" w:space="0" w:color="000000"/>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批复规模(</w:t>
            </w:r>
            <w:r>
              <w:rPr>
                <w:b w:val="0"/>
                <w:i w:val="0"/>
                <w:caps w:val="0"/>
                <w:smallCaps w:val="0"/>
                <w:color w:val="000000"/>
                <w:spacing w:val="0"/>
                <w:w w:val="100"/>
                <w:kern w:val="0"/>
                <w:sz w:val="24"/>
                <w:szCs w:val="24"/>
              </w:rPr>
              <w:t>㎡</w:t>
            </w:r>
            <w:r>
              <w:rPr>
                <w:rFonts w:eastAsia="仿宋_GB2312"/>
                <w:b w:val="0"/>
                <w:i w:val="0"/>
                <w:caps w:val="0"/>
                <w:smallCaps w:val="0"/>
                <w:color w:val="000000"/>
                <w:spacing w:val="0"/>
                <w:w w:val="100"/>
                <w:kern w:val="0"/>
                <w:sz w:val="24"/>
                <w:szCs w:val="24"/>
              </w:rPr>
              <w:t>)</w:t>
            </w:r>
          </w:p>
        </w:tc>
        <w:tc>
          <w:tcPr>
            <w:tcW w:w="927" w:type="dxa"/>
            <w:tcBorders>
              <w:top w:val="nil"/>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实际规模（</w:t>
            </w:r>
            <w:r>
              <w:rPr>
                <w:b w:val="0"/>
                <w:i w:val="0"/>
                <w:caps w:val="0"/>
                <w:smallCaps w:val="0"/>
                <w:color w:val="000000"/>
                <w:spacing w:val="0"/>
                <w:w w:val="100"/>
                <w:kern w:val="0"/>
                <w:sz w:val="24"/>
                <w:szCs w:val="24"/>
              </w:rPr>
              <w:t>㎡</w:t>
            </w:r>
            <w:r>
              <w:rPr>
                <w:rFonts w:eastAsia="仿宋_GB2312"/>
                <w:b w:val="0"/>
                <w:i w:val="0"/>
                <w:caps w:val="0"/>
                <w:smallCaps w:val="0"/>
                <w:color w:val="000000"/>
                <w:spacing w:val="0"/>
                <w:w w:val="100"/>
                <w:kern w:val="0"/>
                <w:sz w:val="24"/>
                <w:szCs w:val="24"/>
              </w:rPr>
              <w:t>）</w:t>
            </w:r>
          </w:p>
        </w:tc>
        <w:tc>
          <w:tcPr>
            <w:tcW w:w="932"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规模控制率</w:t>
            </w:r>
          </w:p>
        </w:tc>
        <w:tc>
          <w:tcPr>
            <w:tcW w:w="1208"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预算投资（万元）</w:t>
            </w:r>
          </w:p>
        </w:tc>
        <w:tc>
          <w:tcPr>
            <w:tcW w:w="1238"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实际投资</w:t>
            </w:r>
          </w:p>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（万元）</w:t>
            </w:r>
          </w:p>
        </w:tc>
        <w:tc>
          <w:tcPr>
            <w:tcW w:w="1226"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ind w:leftChars="-99" w:left="-69" w:hangingChars="58" w:hanging="139"/>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 xml:space="preserve"> 投资概算</w:t>
            </w:r>
          </w:p>
          <w:p>
            <w:pPr>
              <w:widowControl/>
              <w:snapToGrid/>
              <w:spacing w:before="0" w:beforeAutospacing="0" w:after="0" w:afterAutospacing="0" w:line="240" w:lineRule="auto"/>
              <w:ind w:leftChars="-99" w:left="-69" w:hangingChars="58" w:hanging="139"/>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控制率</w:t>
            </w:r>
          </w:p>
        </w:tc>
      </w:tr>
      <w:tr>
        <w:trPr>
          <w:trHeight w:val="334"/>
        </w:trPr>
        <w:tc>
          <w:tcPr>
            <w:tcW w:w="3067"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left"/>
              <w:textAlignment w:val="baseline"/>
              <w:rPr>
                <w:b w:val="0"/>
                <w:i w:val="0"/>
                <w:caps w:val="0"/>
                <w:smallCaps w:val="0"/>
                <w:color w:val="000000"/>
                <w:spacing w:val="0"/>
                <w:w w:val="100"/>
                <w:kern w:val="0"/>
                <w:sz w:val="22"/>
                <w:szCs w:val="22"/>
              </w:rPr>
            </w:pPr>
            <w:r>
              <w:rPr>
                <w:b w:val="0"/>
                <w:i w:val="0"/>
                <w:caps w:val="0"/>
                <w:smallCaps w:val="0"/>
                <w:color w:val="000000"/>
                <w:spacing w:val="0"/>
                <w:w w:val="100"/>
                <w:kern w:val="0"/>
                <w:sz w:val="22"/>
                <w:szCs w:val="22"/>
              </w:rPr>
              <w:t>　</w:t>
            </w:r>
          </w:p>
        </w:tc>
        <w:tc>
          <w:tcPr>
            <w:tcW w:w="979" w:type="dxa"/>
            <w:tcBorders>
              <w:top w:val="nil"/>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0</w:t>
            </w:r>
          </w:p>
        </w:tc>
        <w:tc>
          <w:tcPr>
            <w:tcW w:w="927" w:type="dxa"/>
            <w:tcBorders>
              <w:top w:val="nil"/>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0</w:t>
            </w:r>
          </w:p>
        </w:tc>
        <w:tc>
          <w:tcPr>
            <w:tcW w:w="932" w:type="dxa"/>
            <w:tcBorders>
              <w:top w:val="nil"/>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p>
        </w:tc>
        <w:tc>
          <w:tcPr>
            <w:tcW w:w="1208" w:type="dxa"/>
            <w:tcBorders>
              <w:top w:val="nil"/>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0</w:t>
            </w:r>
          </w:p>
        </w:tc>
        <w:tc>
          <w:tcPr>
            <w:tcW w:w="1238" w:type="dxa"/>
            <w:tcBorders>
              <w:top w:val="nil"/>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0</w:t>
            </w:r>
          </w:p>
        </w:tc>
        <w:tc>
          <w:tcPr>
            <w:tcW w:w="1226" w:type="dxa"/>
            <w:tcBorders>
              <w:top w:val="nil"/>
              <w:left w:val="nil"/>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p>
        </w:tc>
      </w:tr>
      <w:tr>
        <w:trPr>
          <w:trHeight w:val="720"/>
        </w:trPr>
        <w:tc>
          <w:tcPr>
            <w:tcW w:w="3067" w:type="dxa"/>
            <w:tcBorders>
              <w:top w:val="nil"/>
              <w:left w:val="single" w:sz="4" w:space="0" w:color="auto"/>
              <w:bottom w:val="single" w:sz="4" w:space="0" w:color="auto"/>
              <w:right w:val="single" w:sz="4" w:space="0" w:color="auto"/>
            </w:tcBorders>
            <w:vAlign w:val="center"/>
          </w:tcPr>
          <w:p>
            <w:pPr>
              <w:widowControl/>
              <w:snapToGrid/>
              <w:spacing w:before="0" w:beforeAutospacing="0" w:after="0" w:afterAutospacing="0" w:line="240" w:lineRule="auto"/>
              <w:jc w:val="center"/>
              <w:textAlignment w:val="baseline"/>
              <w:rPr>
                <w:rFonts w:eastAsia="仿宋_GB2312"/>
                <w:b w:val="0"/>
                <w:i w:val="0"/>
                <w:caps w:val="0"/>
                <w:smallCaps w:val="0"/>
                <w:color w:val="000000"/>
                <w:spacing w:val="0"/>
                <w:w w:val="100"/>
                <w:kern w:val="0"/>
                <w:sz w:val="24"/>
                <w:szCs w:val="24"/>
              </w:rPr>
            </w:pPr>
            <w:r>
              <w:rPr>
                <w:rFonts w:eastAsia="仿宋_GB2312"/>
                <w:b w:val="0"/>
                <w:i w:val="0"/>
                <w:caps w:val="0"/>
                <w:smallCaps w:val="0"/>
                <w:color w:val="000000"/>
                <w:spacing w:val="0"/>
                <w:w w:val="100"/>
                <w:kern w:val="0"/>
                <w:sz w:val="24"/>
                <w:szCs w:val="24"/>
              </w:rPr>
              <w:t>厉行节约保障措施</w:t>
            </w:r>
          </w:p>
        </w:tc>
        <w:tc>
          <w:tcPr>
            <w:tcW w:w="6510" w:type="dxa"/>
            <w:gridSpan w:val="6"/>
            <w:tcBorders>
              <w:top w:val="single" w:sz="4" w:space="0" w:color="auto"/>
              <w:left w:val="nil"/>
              <w:bottom w:val="single" w:sz="4" w:space="0" w:color="auto"/>
              <w:right w:val="single" w:sz="4" w:space="0" w:color="auto"/>
            </w:tcBorders>
            <w:vAlign w:val="center"/>
          </w:tcPr>
          <w:p>
            <w:pPr>
              <w:widowControl/>
              <w:snapToGrid/>
              <w:spacing w:before="0" w:beforeAutospacing="0" w:after="0" w:afterAutospacing="0" w:line="240" w:lineRule="auto"/>
              <w:jc w:val="both"/>
              <w:textAlignment w:val="baseline"/>
              <w:rPr>
                <w:rFonts w:eastAsia="仿宋_GB2312"/>
                <w:b w:val="0"/>
                <w:i w:val="0"/>
                <w:caps w:val="0"/>
                <w:smallCaps w:val="0"/>
                <w:color w:val="000000"/>
                <w:spacing w:val="0"/>
                <w:w w:val="100"/>
                <w:kern w:val="0"/>
                <w:sz w:val="24"/>
                <w:szCs w:val="24"/>
              </w:rPr>
            </w:pPr>
            <w:r>
              <w:rPr>
                <w:rFonts w:eastAsia="仿宋_GB2312" w:hint="eastAsia"/>
                <w:b w:val="0"/>
                <w:i w:val="0"/>
                <w:caps w:val="0"/>
                <w:smallCaps w:val="0"/>
                <w:color w:val="000000"/>
                <w:spacing w:val="0"/>
                <w:w w:val="100"/>
                <w:kern w:val="0"/>
                <w:sz w:val="24"/>
                <w:szCs w:val="24"/>
                <w:lang w:val="en-US" w:eastAsia="zh-CN"/>
              </w:rPr>
              <w:t>严格控制三公经费：强化公车管理；严格公务接待，规范接待标准。</w:t>
            </w:r>
            <w:r>
              <w:rPr>
                <w:rFonts w:eastAsia="仿宋_GB2312"/>
                <w:b w:val="0"/>
                <w:i w:val="0"/>
                <w:caps w:val="0"/>
                <w:smallCaps w:val="0"/>
                <w:color w:val="000000"/>
                <w:spacing w:val="0"/>
                <w:w w:val="100"/>
                <w:kern w:val="0"/>
                <w:sz w:val="24"/>
                <w:szCs w:val="24"/>
              </w:rPr>
              <w:t>　</w:t>
            </w:r>
          </w:p>
        </w:tc>
      </w:tr>
      <w:tr>
        <w:trPr>
          <w:trHeight w:val="334"/>
        </w:trPr>
        <w:tc>
          <w:tcPr>
            <w:tcW w:w="9577" w:type="dxa"/>
            <w:gridSpan w:val="7"/>
            <w:vMerge w:val="restart"/>
            <w:tcBorders>
              <w:top w:val="single" w:sz="4" w:space="0" w:color="auto"/>
              <w:left w:val="nil"/>
              <w:bottom w:val="nil"/>
              <w:right w:val="nil"/>
            </w:tcBorders>
            <w:vAlign w:val="center"/>
          </w:tcPr>
          <w:p>
            <w:pPr>
              <w:widowControl/>
              <w:snapToGrid/>
              <w:spacing w:before="0" w:beforeAutospacing="0" w:after="0" w:afterAutospacing="0" w:line="240" w:lineRule="auto"/>
              <w:jc w:val="left"/>
              <w:textAlignment w:val="baseline"/>
              <w:rPr>
                <w:rFonts w:eastAsia="仿宋_GB2312"/>
                <w:b w:val="0"/>
                <w:i w:val="0"/>
                <w:caps w:val="0"/>
                <w:smallCaps w:val="0"/>
                <w:color w:val="000000"/>
                <w:spacing w:val="0"/>
                <w:w w:val="100"/>
                <w:kern w:val="0"/>
                <w:sz w:val="22"/>
                <w:szCs w:val="22"/>
              </w:rPr>
            </w:pPr>
            <w:r>
              <w:rPr>
                <w:rFonts w:eastAsia="仿宋_GB2312"/>
                <w:b w:val="0"/>
                <w:i w:val="0"/>
                <w:caps w:val="0"/>
                <w:smallCaps w:val="0"/>
                <w:color w:val="000000"/>
                <w:spacing w:val="0"/>
                <w:w w:val="100"/>
                <w:kern w:val="0"/>
                <w:sz w:val="22"/>
                <w:szCs w:val="22"/>
              </w:rPr>
              <w:t>说明：“项目支出”需要填报除专项资金和基本支出以外的所有项目情况；公用经费填报基本支出中的一般商品和服务支出。</w:t>
            </w:r>
          </w:p>
        </w:tc>
      </w:tr>
      <w:tr>
        <w:trPr>
          <w:trHeight w:val="334"/>
        </w:trPr>
        <w:tc>
          <w:tcPr>
            <w:tcW w:w="9577" w:type="dxa"/>
            <w:gridSpan w:val="7"/>
            <w:vMerge/>
            <w:tcBorders>
              <w:top w:val="single" w:sz="4" w:space="0" w:color="auto"/>
              <w:left w:val="nil"/>
              <w:bottom w:val="nil"/>
              <w:right w:val="nil"/>
            </w:tcBorders>
            <w:vAlign w:val="center"/>
          </w:tcPr>
          <w:p/>
        </w:tc>
      </w:tr>
      <w:tr>
        <w:trPr>
          <w:trHeight w:val="334"/>
        </w:trPr>
        <w:tc>
          <w:tcPr>
            <w:tcW w:w="9577" w:type="dxa"/>
            <w:gridSpan w:val="7"/>
            <w:vMerge/>
            <w:tcBorders>
              <w:top w:val="single" w:sz="4" w:space="0" w:color="auto"/>
              <w:left w:val="nil"/>
              <w:bottom w:val="nil"/>
              <w:right w:val="nil"/>
            </w:tcBorders>
            <w:vAlign w:val="center"/>
          </w:tcPr>
          <w:p/>
        </w:tc>
      </w:tr>
    </w:tbl>
    <w:p>
      <w:pPr>
        <w:snapToGrid/>
        <w:spacing w:before="0" w:after="0" w:line="160" w:lineRule="exact"/>
        <w:jc w:val="both"/>
        <w:textAlignment w:val="baseline"/>
        <w:rPr>
          <w:b w:val="0"/>
          <w:i w:val="0"/>
          <w:caps w:val="0"/>
          <w:smallCaps w:val="0"/>
          <w:color w:val="000000"/>
          <w:spacing w:val="0"/>
          <w:w w:val="100"/>
          <w:sz w:val="20"/>
        </w:rPr>
      </w:pPr>
    </w:p>
    <w:sectPr>
      <w:pgSz w:w="11907" w:h="16840"/>
      <w:pgMar w:top="1440" w:right="1644" w:bottom="1440" w:left="1644" w:header="851" w:footer="992" w:gutter="0"/>
      <w:pgNumType w:fmt="numberInDash" w:start="1"/>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_GBK">
    <w:altName w:val="微软雅黑"/>
    <w:panose1 w:val="00000000000000000000"/>
    <w:charset w:val="86"/>
    <w:family w:val="script"/>
    <w:pitch w:val="variable"/>
    <w:sig w:usb0="00000000" w:usb1="00000000" w:usb2="00000010" w:usb3="00000000" w:csb0="00040000" w:csb1="00000000"/>
  </w:font>
  <w:font w:name="仿宋_GB2312">
    <w:altName w:val="仿宋"/>
    <w:panose1 w:val="02010609030101010101"/>
    <w:charset w:val="86"/>
    <w:family w:val="modern"/>
    <w:pitch w:val="variable"/>
    <w:sig w:usb0="00000000" w:usb1="00000000" w:usb2="00000010" w:usb3="00000000" w:csb0="00040000" w:csb1="00000000"/>
  </w:font>
  <w:font w:name="楷体_GB2312">
    <w:altName w:val="楷体"/>
    <w:panose1 w:val="00000000000000000000"/>
    <w:charset w:val="86"/>
    <w:family w:val="modern"/>
    <w:pitch w:val="variable"/>
    <w:sig w:usb0="00000000" w:usb1="00000000" w:usb2="00000010" w:usb3="00000000" w:csb0="00040000" w:csb1="00000000"/>
  </w:font>
  <w:font w:name="仿宋">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方正小标宋简体">
    <w:altName w:val="微软雅黑"/>
    <w:panose1 w:val="03000509000000000000"/>
    <w:charset w:val="86"/>
    <w:family w:val="script"/>
    <w:pitch w:val="variable"/>
    <w:sig w:usb0="00000000" w:usb1="00000000" w:usb2="00000010" w:usb3="00000000" w:csb0="00040000" w:csb1="00000000"/>
  </w:font>
  <w:font w:name="宋体">
    <w:panose1 w:val="02010600030101010101"/>
    <w:charset w:val="86"/>
    <w:family w:val="auto"/>
    <w:pitch w:val="variable"/>
    <w:sig w:usb0="00000003" w:usb1="288F0000" w:usb2="00000006" w:usb3="00000000" w:csb0="00040001" w:csb1="00000000"/>
  </w:font>
  <w:font w:name="Calibri">
    <w:panose1 w:val="020F0502020204030204"/>
    <w:charset w:val="00"/>
    <w:family w:val="swiss"/>
    <w:pitch w:val="variable"/>
    <w:sig w:usb0="E10002FF" w:usb1="4000ACFF" w:usb2="00000009" w:usb3="00000000" w:csb0="2000019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0"/>
      <w:lang w:val="en-US" w:eastAsia="zh-CN" w:bidi="ar-SA"/>
    </w:rPr>
  </w:style>
  <w:style w:type="character" w:default="1" w:styleId="10">
    <w:name w:val="Default Paragraph Font"/>
  </w:style>
  <w:style w:type="paragraph" w:styleId="15">
    <w:name w:val="Normal Indent"/>
    <w:basedOn w:val="0"/>
    <w:pPr>
      <w:ind w:firstLine="420"/>
    </w:pPr>
    <w:rPr>
      <w:rFonts w:ascii="Times New Roman" w:eastAsia="宋体" w:cs="Times New Roman" w:hAnsi="Times New Roman"/>
      <w:szCs w:val="20"/>
    </w:rPr>
  </w:style>
  <w:style w:type="paragraph" w:styleId="16">
    <w:name w:val="footer"/>
    <w:basedOn w:val="0"/>
    <w:pPr>
      <w:tabs>
        <w:tab w:val="center" w:pos="4153"/>
        <w:tab w:val="right" w:pos="8306"/>
      </w:tabs>
      <w:snapToGrid w:val="0"/>
      <w:jc w:val="left"/>
    </w:pPr>
    <w:rPr>
      <w:sz w:val="18"/>
    </w:rPr>
  </w:style>
  <w:style w:type="paragraph" w:styleId="17">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paragraph" w:customStyle="1" w:styleId="18">
    <w:name w:val="List Paragraph"/>
    <w:basedOn w:val="0"/>
    <w:pPr>
      <w:ind w:firstLineChars="200" w:firstLine="200"/>
    </w:pPr>
    <w:rPr>
      <w:rFonts w:ascii="Calibri" w:hAnsi="Calibri"/>
      <w:szCs w:val="22"/>
    </w:rPr>
  </w:style>
  <w:style w:type="paragraph" w:customStyle="1" w:styleId="19">
    <w:name w:val="Default"/>
    <w:pPr>
      <w:widowControl w:val="0"/>
      <w:autoSpaceDE w:val="0"/>
      <w:autoSpaceDN w:val="0"/>
      <w:adjustRightInd w:val="0"/>
    </w:pPr>
    <w:rPr>
      <w:rFonts w:ascii="黑体"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45</TotalTime>
  <Application>Yozo_Office</Application>
  <Pages>16</Pages>
  <Words>9212</Words>
  <Characters>9714</Characters>
  <Lines>861</Lines>
  <Paragraphs>337</Paragraphs>
  <CharactersWithSpaces>9908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Microsoft</cp:lastModifiedBy>
  <cp:revision>2</cp:revision>
  <dcterms:created xsi:type="dcterms:W3CDTF">2021-03-09T08:07:00Z</dcterms:creat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2052-11.1.0.10314</vt:lpwstr>
  </property>
  <property fmtid="{D5CDD505-2E9C-101B-9397-08002B2CF9AE}" pid="3" name="ICV">
    <vt:lpwstr>A6E1CBEA90824C60A71F0C471DFB916E</vt:lpwstr>
  </property>
</Properties>
</file>